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47" w:rsidRDefault="00323547" w:rsidP="003235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i/>
          <w:iCs/>
          <w:sz w:val="32"/>
          <w:szCs w:val="32"/>
          <w:u w:val="single"/>
        </w:rPr>
        <w:t>The role of Australia’s governments in promoting healthy eating through the Information produced by Nutrition Surveys</w:t>
      </w:r>
    </w:p>
    <w:p w:rsidR="00C67776" w:rsidRDefault="00C67776" w:rsidP="0032354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iCs/>
          <w:u w:val="single"/>
        </w:rPr>
      </w:pPr>
    </w:p>
    <w:p w:rsidR="002E6849" w:rsidRPr="00C67776" w:rsidRDefault="002E6849" w:rsidP="0032354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iCs/>
          <w:color w:val="FF0000"/>
          <w:u w:val="single"/>
        </w:rPr>
      </w:pPr>
      <w:r w:rsidRPr="002E6849">
        <w:rPr>
          <w:rFonts w:cstheme="minorHAnsi"/>
          <w:b/>
          <w:i/>
          <w:iCs/>
          <w:color w:val="FF0000"/>
          <w:u w:val="single"/>
        </w:rPr>
        <w:t>Key knowledge</w:t>
      </w:r>
      <w:r w:rsidR="00C67776" w:rsidRPr="00C67776">
        <w:rPr>
          <w:rFonts w:cstheme="minorHAnsi"/>
          <w:b/>
          <w:i/>
          <w:iCs/>
          <w:color w:val="FF0000"/>
          <w:u w:val="single"/>
        </w:rPr>
        <w:t xml:space="preserve"> you need to have includes:</w:t>
      </w:r>
    </w:p>
    <w:p w:rsidR="002E6849" w:rsidRPr="00C67776" w:rsidRDefault="00F566C1" w:rsidP="00C6777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“</w:t>
      </w:r>
      <w:r w:rsidR="002E6849" w:rsidRPr="00C67776">
        <w:rPr>
          <w:rFonts w:cstheme="minorHAnsi"/>
          <w:b/>
          <w:color w:val="FF0000"/>
        </w:rPr>
        <w:t>The role of Australia’s governments in promoting healthy eating through:</w:t>
      </w:r>
    </w:p>
    <w:p w:rsidR="002E6849" w:rsidRPr="00C67776" w:rsidRDefault="002E6849" w:rsidP="00C677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0000"/>
          <w:u w:val="single"/>
        </w:rPr>
      </w:pPr>
      <w:r w:rsidRPr="00C67776">
        <w:rPr>
          <w:rFonts w:cstheme="minorHAnsi"/>
          <w:b/>
          <w:color w:val="FF0000"/>
          <w:u w:val="single"/>
        </w:rPr>
        <w:t>the information provided by nutrition surveys and how it is used</w:t>
      </w:r>
      <w:r w:rsidR="00F566C1">
        <w:rPr>
          <w:rFonts w:cstheme="minorHAnsi"/>
          <w:b/>
          <w:color w:val="FF0000"/>
          <w:u w:val="single"/>
        </w:rPr>
        <w:t>”</w:t>
      </w:r>
    </w:p>
    <w:p w:rsidR="00C67776" w:rsidRPr="00C67776" w:rsidRDefault="00C67776" w:rsidP="0032354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iCs/>
          <w:color w:val="0070C0"/>
          <w:sz w:val="16"/>
          <w:szCs w:val="16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E6849" w:rsidRPr="002E6849" w:rsidRDefault="002E6849" w:rsidP="0032354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E6849">
        <w:rPr>
          <w:rFonts w:cstheme="minorHAnsi"/>
          <w:b/>
          <w:i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Key skills</w:t>
      </w:r>
      <w:r w:rsidR="00C67776" w:rsidRPr="00C67776">
        <w:rPr>
          <w:rFonts w:cstheme="minorHAnsi"/>
          <w:b/>
          <w:i/>
          <w:iCs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you need to develop </w:t>
      </w:r>
      <w:r w:rsidRPr="002E6849">
        <w:rPr>
          <w:rFonts w:cstheme="minorHAnsi"/>
          <w:b/>
          <w:i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include the ability to</w:t>
      </w:r>
      <w:r w:rsidR="00C67776">
        <w:rPr>
          <w:rFonts w:cstheme="minorHAnsi"/>
          <w:b/>
          <w:i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p w:rsidR="002E6849" w:rsidRPr="002E6849" w:rsidRDefault="00C67776" w:rsidP="0032354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1. A</w:t>
      </w:r>
      <w:r w:rsidR="002E6849" w:rsidRPr="002E6849"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nalyse the different approaches to health and health promotion;</w:t>
      </w:r>
    </w:p>
    <w:p w:rsidR="002E6849" w:rsidRPr="00C67776" w:rsidRDefault="00C67776" w:rsidP="002E684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2. E</w:t>
      </w:r>
      <w:r w:rsidR="002E6849" w:rsidRPr="002E6849"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xplain and draw informed conclusions about the role of government and non-government agencies in </w:t>
      </w:r>
      <w:r w:rsidR="002E6849" w:rsidRPr="00C67776"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2E6849" w:rsidRPr="002E6849">
        <w:rPr>
          <w:rFonts w:cstheme="minorHAnsi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promoting healthy eating.</w:t>
      </w:r>
    </w:p>
    <w:p w:rsidR="000D51DF" w:rsidRDefault="000D51DF" w:rsidP="000D51DF">
      <w:pPr>
        <w:rPr>
          <w:rFonts w:cstheme="minorHAnsi"/>
          <w:b/>
          <w:sz w:val="32"/>
          <w:szCs w:val="32"/>
          <w:u w:val="single"/>
        </w:rPr>
      </w:pPr>
      <w:r w:rsidRPr="00B51F9E">
        <w:rPr>
          <w:rFonts w:cstheme="minorHAnsi"/>
          <w:b/>
          <w:sz w:val="32"/>
          <w:szCs w:val="32"/>
          <w:u w:val="single"/>
        </w:rPr>
        <w:t>TASK:</w:t>
      </w:r>
    </w:p>
    <w:p w:rsidR="00C67776" w:rsidRPr="002E6849" w:rsidRDefault="00C67776" w:rsidP="00C677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14142"/>
        </w:rPr>
      </w:pPr>
      <w:r w:rsidRPr="00741D86">
        <w:rPr>
          <w:rFonts w:cstheme="minorHAnsi"/>
          <w:b/>
          <w:bCs/>
          <w:color w:val="414142"/>
        </w:rPr>
        <w:t>The 2007</w:t>
      </w:r>
      <w:r>
        <w:rPr>
          <w:rFonts w:cstheme="minorHAnsi"/>
          <w:b/>
          <w:bCs/>
          <w:color w:val="414142"/>
        </w:rPr>
        <w:t xml:space="preserve"> Australian National Children’s </w:t>
      </w:r>
      <w:r w:rsidRPr="00741D86">
        <w:rPr>
          <w:rFonts w:cstheme="minorHAnsi"/>
          <w:b/>
          <w:bCs/>
          <w:color w:val="414142"/>
        </w:rPr>
        <w:t>Nutriti</w:t>
      </w:r>
      <w:r>
        <w:rPr>
          <w:rFonts w:cstheme="minorHAnsi"/>
          <w:b/>
          <w:bCs/>
          <w:color w:val="414142"/>
        </w:rPr>
        <w:t xml:space="preserve">on and Physical Activity Survey (Children’s Survey) was commissioned by </w:t>
      </w:r>
      <w:r w:rsidRPr="00741D86">
        <w:rPr>
          <w:rFonts w:cstheme="minorHAnsi"/>
          <w:b/>
          <w:bCs/>
          <w:color w:val="414142"/>
        </w:rPr>
        <w:t>the Department of Health and Ageing, th</w:t>
      </w:r>
      <w:r>
        <w:rPr>
          <w:rFonts w:cstheme="minorHAnsi"/>
          <w:b/>
          <w:bCs/>
          <w:color w:val="414142"/>
        </w:rPr>
        <w:t xml:space="preserve">e </w:t>
      </w:r>
      <w:r w:rsidRPr="00741D86">
        <w:rPr>
          <w:rFonts w:cstheme="minorHAnsi"/>
          <w:b/>
          <w:bCs/>
          <w:color w:val="414142"/>
        </w:rPr>
        <w:t>Departmen</w:t>
      </w:r>
      <w:r>
        <w:rPr>
          <w:rFonts w:cstheme="minorHAnsi"/>
          <w:b/>
          <w:bCs/>
          <w:color w:val="414142"/>
        </w:rPr>
        <w:t xml:space="preserve">t of Agriculture, Fisheries and Forestry, and the Australian </w:t>
      </w:r>
      <w:r w:rsidRPr="00741D86">
        <w:rPr>
          <w:rFonts w:cstheme="minorHAnsi"/>
          <w:b/>
          <w:bCs/>
          <w:color w:val="414142"/>
        </w:rPr>
        <w:t>Food and Grocery Council.</w:t>
      </w:r>
    </w:p>
    <w:p w:rsidR="00C67776" w:rsidRDefault="00C67776" w:rsidP="00C67776">
      <w:pPr>
        <w:autoSpaceDE w:val="0"/>
        <w:autoSpaceDN w:val="0"/>
        <w:adjustRightInd w:val="0"/>
        <w:spacing w:after="0" w:line="240" w:lineRule="auto"/>
        <w:rPr>
          <w:rFonts w:eastAsia="FrutigerLTStd-Light" w:cstheme="minorHAnsi"/>
          <w:color w:val="414142"/>
        </w:rPr>
      </w:pPr>
    </w:p>
    <w:p w:rsidR="00C67776" w:rsidRPr="00C67776" w:rsidRDefault="00C67776" w:rsidP="00C67776">
      <w:pPr>
        <w:autoSpaceDE w:val="0"/>
        <w:autoSpaceDN w:val="0"/>
        <w:adjustRightInd w:val="0"/>
        <w:spacing w:after="0" w:line="240" w:lineRule="auto"/>
        <w:rPr>
          <w:rFonts w:eastAsia="FrutigerLTStd-Light" w:cstheme="minorHAnsi"/>
          <w:b/>
          <w:color w:val="414142"/>
        </w:rPr>
      </w:pPr>
      <w:r w:rsidRPr="00C67776">
        <w:rPr>
          <w:rFonts w:eastAsia="FrutigerLTStd-Light" w:cstheme="minorHAnsi"/>
          <w:b/>
          <w:color w:val="414142"/>
        </w:rPr>
        <w:t xml:space="preserve">The objective of the Children’s Survey was to assess the </w:t>
      </w:r>
      <w:r w:rsidRPr="00C67776">
        <w:rPr>
          <w:rFonts w:eastAsia="FrutigerLTStd-Light" w:cstheme="minorHAnsi"/>
          <w:b/>
          <w:color w:val="414142"/>
          <w:u w:val="single"/>
        </w:rPr>
        <w:t>food and nutrient intake</w:t>
      </w:r>
      <w:r w:rsidRPr="00C67776">
        <w:rPr>
          <w:rFonts w:eastAsia="FrutigerLTStd-Light" w:cstheme="minorHAnsi"/>
          <w:b/>
          <w:color w:val="414142"/>
        </w:rPr>
        <w:t xml:space="preserve">, </w:t>
      </w:r>
      <w:r w:rsidRPr="00C67776">
        <w:rPr>
          <w:rFonts w:eastAsia="FrutigerLTStd-Light" w:cstheme="minorHAnsi"/>
          <w:b/>
          <w:color w:val="414142"/>
          <w:u w:val="single"/>
        </w:rPr>
        <w:t>physical activity participation</w:t>
      </w:r>
      <w:r w:rsidRPr="00C67776">
        <w:rPr>
          <w:rFonts w:eastAsia="FrutigerLTStd-Light" w:cstheme="minorHAnsi"/>
          <w:b/>
          <w:color w:val="414142"/>
        </w:rPr>
        <w:t xml:space="preserve"> and to </w:t>
      </w:r>
      <w:r w:rsidRPr="00C67776">
        <w:rPr>
          <w:rFonts w:eastAsia="FrutigerLTStd-Light" w:cstheme="minorHAnsi"/>
          <w:b/>
          <w:color w:val="414142"/>
          <w:u w:val="single"/>
        </w:rPr>
        <w:t>measure weight, height and waist circumference</w:t>
      </w:r>
      <w:r w:rsidRPr="00C67776">
        <w:rPr>
          <w:rFonts w:eastAsia="FrutigerLTStd-Light" w:cstheme="minorHAnsi"/>
          <w:b/>
          <w:color w:val="414142"/>
        </w:rPr>
        <w:t xml:space="preserve"> in a sample of children aged 2–16 years randomly selected from across Australia.</w:t>
      </w:r>
    </w:p>
    <w:p w:rsidR="00C67776" w:rsidRPr="00C67776" w:rsidRDefault="00C67776" w:rsidP="00C67776">
      <w:pPr>
        <w:autoSpaceDE w:val="0"/>
        <w:autoSpaceDN w:val="0"/>
        <w:adjustRightInd w:val="0"/>
        <w:spacing w:after="0" w:line="240" w:lineRule="auto"/>
        <w:rPr>
          <w:rFonts w:eastAsia="FrutigerLTStd-Light" w:cstheme="minorHAnsi"/>
          <w:color w:val="414142"/>
          <w:sz w:val="16"/>
          <w:szCs w:val="16"/>
        </w:rPr>
      </w:pPr>
    </w:p>
    <w:p w:rsidR="00C67776" w:rsidRDefault="00C67776" w:rsidP="00C67776">
      <w:pPr>
        <w:pStyle w:val="ListParagraph"/>
        <w:numPr>
          <w:ilvl w:val="0"/>
          <w:numId w:val="3"/>
        </w:numPr>
        <w:spacing w:line="240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 </w:t>
      </w:r>
      <w:r w:rsidR="000D51DF" w:rsidRPr="00B51F9E">
        <w:rPr>
          <w:rFonts w:cstheme="minorHAnsi"/>
        </w:rPr>
        <w:t>Research ‘The 2007 Australian National Children’s Nutrition and Physical Activity Survey – Major Findings’ (AGPS, Canberra):</w:t>
      </w:r>
      <w:r>
        <w:rPr>
          <w:rFonts w:cstheme="minorHAnsi"/>
        </w:rPr>
        <w:t xml:space="preserve"> </w:t>
      </w:r>
    </w:p>
    <w:p w:rsidR="002E6849" w:rsidRDefault="00E5166E" w:rsidP="00C67776">
      <w:pPr>
        <w:pStyle w:val="ListParagraph"/>
        <w:spacing w:line="240" w:lineRule="auto"/>
        <w:ind w:left="357"/>
        <w:rPr>
          <w:rFonts w:cstheme="minorHAnsi"/>
        </w:rPr>
      </w:pPr>
      <w:hyperlink r:id="rId6" w:history="1">
        <w:r w:rsidR="00C67776" w:rsidRPr="00B51F9E">
          <w:rPr>
            <w:rStyle w:val="Hyperlink"/>
            <w:rFonts w:cstheme="minorHAnsi"/>
          </w:rPr>
          <w:t>www.health.gov.au/internet/main/publishing.nsf/content/phd-nutrition-childrens-survey</w:t>
        </w:r>
      </w:hyperlink>
      <w:r w:rsidR="000D51DF" w:rsidRPr="00B51F9E">
        <w:rPr>
          <w:rFonts w:cstheme="minorHAnsi"/>
        </w:rPr>
        <w:t xml:space="preserve"> </w:t>
      </w:r>
    </w:p>
    <w:p w:rsidR="00BF1048" w:rsidRPr="00BF1048" w:rsidRDefault="00BF1048" w:rsidP="00BF1048">
      <w:pPr>
        <w:spacing w:line="240" w:lineRule="auto"/>
        <w:rPr>
          <w:rFonts w:cstheme="minorHAnsi"/>
        </w:rPr>
      </w:pPr>
      <w:r>
        <w:rPr>
          <w:rFonts w:cstheme="minorHAnsi"/>
        </w:rPr>
        <w:t>a. Outline 5 ways that information from nutrition surveys such as this is used.</w:t>
      </w:r>
    </w:p>
    <w:p w:rsidR="00F566C1" w:rsidRDefault="00C67776" w:rsidP="00F566C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b. </w:t>
      </w:r>
      <w:r w:rsidR="00370DBD" w:rsidRPr="00C67776">
        <w:rPr>
          <w:rFonts w:cstheme="minorHAnsi"/>
        </w:rPr>
        <w:t>P</w:t>
      </w:r>
      <w:r>
        <w:rPr>
          <w:rFonts w:cstheme="minorHAnsi"/>
        </w:rPr>
        <w:t>roduce a selective summary</w:t>
      </w:r>
      <w:r w:rsidR="00F566C1">
        <w:rPr>
          <w:rFonts w:cstheme="minorHAnsi"/>
        </w:rPr>
        <w:t xml:space="preserve"> of </w:t>
      </w:r>
      <w:r w:rsidR="000D51DF" w:rsidRPr="00C67776">
        <w:rPr>
          <w:rFonts w:cstheme="minorHAnsi"/>
        </w:rPr>
        <w:t>the findings from the survey</w:t>
      </w:r>
      <w:r w:rsidR="00370DBD" w:rsidRPr="00C67776">
        <w:rPr>
          <w:rFonts w:cstheme="minorHAnsi"/>
        </w:rPr>
        <w:t xml:space="preserve"> by </w:t>
      </w:r>
      <w:proofErr w:type="gramStart"/>
      <w:r w:rsidR="002401A0">
        <w:rPr>
          <w:rFonts w:cstheme="minorHAnsi"/>
        </w:rPr>
        <w:t>downloading  &amp;</w:t>
      </w:r>
      <w:proofErr w:type="gramEnd"/>
      <w:r w:rsidR="002401A0">
        <w:rPr>
          <w:rFonts w:cstheme="minorHAnsi"/>
        </w:rPr>
        <w:t xml:space="preserve"> completing </w:t>
      </w:r>
      <w:r w:rsidR="00370DBD" w:rsidRPr="00C67776">
        <w:rPr>
          <w:rFonts w:cstheme="minorHAnsi"/>
        </w:rPr>
        <w:t xml:space="preserve"> Table</w:t>
      </w:r>
      <w:r>
        <w:rPr>
          <w:rFonts w:cstheme="minorHAnsi"/>
        </w:rPr>
        <w:t>s 1 &amp; 2</w:t>
      </w:r>
      <w:r w:rsidR="000D51DF" w:rsidRPr="00C67776">
        <w:rPr>
          <w:rFonts w:cstheme="minorHAnsi"/>
        </w:rPr>
        <w:t xml:space="preserve">. </w:t>
      </w:r>
    </w:p>
    <w:p w:rsidR="002401A0" w:rsidRDefault="002401A0" w:rsidP="00F566C1">
      <w:pPr>
        <w:spacing w:after="0" w:line="240" w:lineRule="auto"/>
        <w:rPr>
          <w:rFonts w:cstheme="minorHAnsi"/>
        </w:rPr>
      </w:pPr>
      <w:r>
        <w:rPr>
          <w:rFonts w:cstheme="minorHAnsi"/>
        </w:rPr>
        <w:t>An example of each is done as a guide to what is required. Graphics are recommended for memory support!</w:t>
      </w:r>
    </w:p>
    <w:p w:rsidR="00F566C1" w:rsidRPr="00C67776" w:rsidRDefault="00F566C1" w:rsidP="00F566C1">
      <w:pPr>
        <w:spacing w:after="0" w:line="240" w:lineRule="auto"/>
        <w:rPr>
          <w:rFonts w:cstheme="minorHAnsi"/>
        </w:rPr>
      </w:pPr>
    </w:p>
    <w:p w:rsidR="00FA360A" w:rsidRDefault="00FA360A" w:rsidP="00FA360A">
      <w:pPr>
        <w:pStyle w:val="ListParagraph"/>
        <w:numPr>
          <w:ilvl w:val="0"/>
          <w:numId w:val="3"/>
        </w:numPr>
        <w:rPr>
          <w:rFonts w:cstheme="minorHAnsi"/>
        </w:rPr>
      </w:pPr>
      <w:r w:rsidRPr="00FA360A">
        <w:rPr>
          <w:rFonts w:cstheme="minorHAnsi"/>
        </w:rPr>
        <w:t xml:space="preserve">Select </w:t>
      </w:r>
      <w:r w:rsidRPr="00C67776">
        <w:rPr>
          <w:rFonts w:cstheme="minorHAnsi"/>
          <w:b/>
          <w:u w:val="single"/>
        </w:rPr>
        <w:t>two</w:t>
      </w:r>
      <w:r w:rsidRPr="00FA360A">
        <w:rPr>
          <w:rFonts w:cstheme="minorHAnsi"/>
        </w:rPr>
        <w:t xml:space="preserve"> </w:t>
      </w:r>
      <w:r w:rsidR="002401A0">
        <w:rPr>
          <w:rFonts w:cstheme="minorHAnsi"/>
        </w:rPr>
        <w:t>of you findings from</w:t>
      </w:r>
      <w:r w:rsidRPr="00FA360A">
        <w:rPr>
          <w:rFonts w:cstheme="minorHAnsi"/>
        </w:rPr>
        <w:t xml:space="preserve"> “The 2007 Australian National Children’s Nutrition and Physical Activity Survey”.  </w:t>
      </w:r>
    </w:p>
    <w:p w:rsidR="00C67776" w:rsidRDefault="00C67776" w:rsidP="002401A0">
      <w:pPr>
        <w:pStyle w:val="ListParagraph"/>
        <w:numPr>
          <w:ilvl w:val="0"/>
          <w:numId w:val="7"/>
        </w:numPr>
        <w:rPr>
          <w:rFonts w:cstheme="minorHAnsi"/>
        </w:rPr>
      </w:pPr>
      <w:r w:rsidRPr="00C42616">
        <w:rPr>
          <w:rFonts w:cstheme="minorHAnsi"/>
          <w:b/>
          <w:u w:val="single"/>
        </w:rPr>
        <w:t>One</w:t>
      </w:r>
      <w:r>
        <w:rPr>
          <w:rFonts w:cstheme="minorHAnsi"/>
        </w:rPr>
        <w:t xml:space="preserve"> from the Food &amp; Nutrition findings</w:t>
      </w:r>
    </w:p>
    <w:p w:rsidR="00C67776" w:rsidRPr="00FA360A" w:rsidRDefault="00C67776" w:rsidP="002401A0">
      <w:pPr>
        <w:pStyle w:val="ListParagraph"/>
        <w:numPr>
          <w:ilvl w:val="0"/>
          <w:numId w:val="7"/>
        </w:numPr>
        <w:rPr>
          <w:rFonts w:cstheme="minorHAnsi"/>
        </w:rPr>
      </w:pPr>
      <w:r w:rsidRPr="00C42616">
        <w:rPr>
          <w:rFonts w:cstheme="minorHAnsi"/>
          <w:b/>
          <w:u w:val="single"/>
        </w:rPr>
        <w:t>One</w:t>
      </w:r>
      <w:r>
        <w:rPr>
          <w:rFonts w:cstheme="minorHAnsi"/>
        </w:rPr>
        <w:t xml:space="preserve"> fr</w:t>
      </w:r>
      <w:r w:rsidR="00C42616">
        <w:rPr>
          <w:rFonts w:cstheme="minorHAnsi"/>
        </w:rPr>
        <w:t>om the Physical Activity &amp; Body Size (Weight</w:t>
      </w:r>
      <w:r>
        <w:rPr>
          <w:rFonts w:cstheme="minorHAnsi"/>
        </w:rPr>
        <w:t>,</w:t>
      </w:r>
      <w:r w:rsidR="00C42616">
        <w:rPr>
          <w:rFonts w:cstheme="minorHAnsi"/>
        </w:rPr>
        <w:t xml:space="preserve"> Height &amp; Waist Circumference) findings</w:t>
      </w:r>
      <w:r>
        <w:rPr>
          <w:rFonts w:cstheme="minorHAnsi"/>
        </w:rPr>
        <w:t xml:space="preserve"> </w:t>
      </w:r>
    </w:p>
    <w:p w:rsidR="00C42616" w:rsidRDefault="00FA360A" w:rsidP="00323547">
      <w:pPr>
        <w:ind w:left="360"/>
        <w:rPr>
          <w:rFonts w:cstheme="minorHAnsi"/>
        </w:rPr>
      </w:pPr>
      <w:r w:rsidRPr="00323547">
        <w:rPr>
          <w:rFonts w:cstheme="minorHAnsi"/>
        </w:rPr>
        <w:t xml:space="preserve">Identify &amp; briefly explain </w:t>
      </w:r>
      <w:r w:rsidR="00C67776">
        <w:rPr>
          <w:rFonts w:cstheme="minorHAnsi"/>
        </w:rPr>
        <w:t>a strategy</w:t>
      </w:r>
      <w:r w:rsidRPr="00323547">
        <w:rPr>
          <w:rFonts w:cstheme="minorHAnsi"/>
        </w:rPr>
        <w:t xml:space="preserve"> </w:t>
      </w:r>
      <w:r w:rsidR="00C67776">
        <w:rPr>
          <w:rFonts w:cstheme="minorHAnsi"/>
        </w:rPr>
        <w:t xml:space="preserve">for each of these findings </w:t>
      </w:r>
      <w:r w:rsidRPr="00323547">
        <w:rPr>
          <w:rFonts w:cstheme="minorHAnsi"/>
        </w:rPr>
        <w:t xml:space="preserve">that government or non-government organisations have developed to make improvements to health status based on these results.  </w:t>
      </w:r>
    </w:p>
    <w:p w:rsidR="00FA360A" w:rsidRPr="00323547" w:rsidRDefault="00C42616" w:rsidP="00323547">
      <w:pPr>
        <w:ind w:left="360"/>
        <w:rPr>
          <w:rFonts w:cstheme="minorHAnsi"/>
        </w:rPr>
      </w:pPr>
      <w:r>
        <w:rPr>
          <w:rFonts w:cstheme="minorHAnsi"/>
        </w:rPr>
        <w:t>Present your findings in Table 3.</w:t>
      </w:r>
      <w:r w:rsidR="00F566C1">
        <w:rPr>
          <w:rFonts w:cstheme="minorHAnsi"/>
        </w:rPr>
        <w:t xml:space="preserve"> </w:t>
      </w:r>
    </w:p>
    <w:p w:rsidR="00323547" w:rsidRDefault="00FA360A" w:rsidP="00C42616">
      <w:pPr>
        <w:pStyle w:val="ListParagraph"/>
        <w:ind w:left="360"/>
        <w:rPr>
          <w:rFonts w:cstheme="minorHAnsi"/>
        </w:rPr>
      </w:pPr>
      <w:proofErr w:type="gramStart"/>
      <w:r>
        <w:rPr>
          <w:rFonts w:cstheme="minorHAnsi"/>
        </w:rPr>
        <w:t xml:space="preserve">Consider  </w:t>
      </w:r>
      <w:r w:rsidR="00323547">
        <w:rPr>
          <w:rFonts w:cstheme="minorHAnsi"/>
        </w:rPr>
        <w:t>the</w:t>
      </w:r>
      <w:proofErr w:type="gramEnd"/>
      <w:r w:rsidR="00323547">
        <w:rPr>
          <w:rFonts w:cstheme="minorHAnsi"/>
        </w:rPr>
        <w:t xml:space="preserve"> following lin</w:t>
      </w:r>
      <w:r w:rsidR="00C42616">
        <w:rPr>
          <w:rFonts w:cstheme="minorHAnsi"/>
        </w:rPr>
        <w:t>ks for programs/strategies</w:t>
      </w:r>
      <w:r w:rsidR="00323547">
        <w:rPr>
          <w:rFonts w:cstheme="minorHAnsi"/>
        </w:rPr>
        <w:t>:</w:t>
      </w:r>
    </w:p>
    <w:p w:rsidR="00323547" w:rsidRPr="00323547" w:rsidRDefault="00E5166E" w:rsidP="00C42616">
      <w:pPr>
        <w:pStyle w:val="ListParagraph"/>
        <w:spacing w:after="0" w:line="360" w:lineRule="auto"/>
        <w:ind w:left="360"/>
        <w:rPr>
          <w:rFonts w:ascii="Calibri" w:hAnsi="Calibri" w:cs="Calibri"/>
        </w:rPr>
      </w:pPr>
      <w:hyperlink r:id="rId7" w:history="1">
        <w:r w:rsidR="00FA360A" w:rsidRPr="00FA360A">
          <w:rPr>
            <w:rStyle w:val="Hyperlink"/>
            <w:rFonts w:ascii="Calibri" w:hAnsi="Calibri" w:cs="Calibri"/>
          </w:rPr>
          <w:t>http://www.healthyactive.gov.au/</w:t>
        </w:r>
      </w:hyperlink>
      <w:r w:rsidR="00FA360A">
        <w:rPr>
          <w:rFonts w:ascii="Calibri" w:hAnsi="Calibri" w:cs="Calibri"/>
        </w:rPr>
        <w:t xml:space="preserve"> </w:t>
      </w:r>
    </w:p>
    <w:p w:rsidR="00323547" w:rsidRPr="00323547" w:rsidRDefault="002E6849" w:rsidP="00C42616">
      <w:pPr>
        <w:pStyle w:val="ListParagraph"/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hyperlink r:id="rId8" w:history="1">
        <w:r w:rsidRPr="003B4B46">
          <w:rPr>
            <w:rStyle w:val="Hyperlink"/>
            <w:rFonts w:ascii="Calibri" w:hAnsi="Calibri" w:cs="Calibri"/>
          </w:rPr>
          <w:t>http://www.nutritionaustralia.org/vic/community-programs</w:t>
        </w:r>
      </w:hyperlink>
    </w:p>
    <w:p w:rsidR="00323547" w:rsidRDefault="002E6849" w:rsidP="00C42616">
      <w:pPr>
        <w:pStyle w:val="ListParagraph"/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hyperlink r:id="rId9" w:history="1">
        <w:r w:rsidRPr="003B4B46">
          <w:rPr>
            <w:rStyle w:val="Hyperlink"/>
            <w:rFonts w:ascii="Calibri" w:hAnsi="Calibri" w:cs="Calibri"/>
          </w:rPr>
          <w:t>http://www.nutritionaustralia.org/vic/schools-programs</w:t>
        </w:r>
      </w:hyperlink>
      <w:r>
        <w:rPr>
          <w:rFonts w:ascii="Calibri" w:hAnsi="Calibri" w:cs="Calibri"/>
        </w:rPr>
        <w:t xml:space="preserve">     </w:t>
      </w:r>
      <w:hyperlink r:id="rId10" w:history="1">
        <w:r w:rsidRPr="003B4B46">
          <w:rPr>
            <w:rStyle w:val="Hyperlink"/>
            <w:rFonts w:ascii="Calibri" w:hAnsi="Calibri" w:cs="Calibri"/>
          </w:rPr>
          <w:t>http://www.heartfoundation.org.au/Pages/default.aspx</w:t>
        </w:r>
      </w:hyperlink>
      <w:r>
        <w:rPr>
          <w:rFonts w:ascii="Calibri" w:hAnsi="Calibri" w:cs="Calibri"/>
        </w:rPr>
        <w:t xml:space="preserve">  </w:t>
      </w:r>
    </w:p>
    <w:p w:rsidR="00323547" w:rsidRDefault="00E5166E" w:rsidP="00C42616">
      <w:pPr>
        <w:pStyle w:val="ListParagraph"/>
        <w:spacing w:after="0" w:line="360" w:lineRule="auto"/>
        <w:ind w:left="360"/>
        <w:rPr>
          <w:rFonts w:ascii="Calibri" w:hAnsi="Calibri" w:cs="Calibri"/>
        </w:rPr>
      </w:pPr>
      <w:hyperlink r:id="rId11" w:history="1">
        <w:r w:rsidR="002E6849" w:rsidRPr="003B4B46">
          <w:rPr>
            <w:rStyle w:val="Hyperlink"/>
            <w:rFonts w:ascii="Calibri" w:hAnsi="Calibri" w:cs="Calibri"/>
          </w:rPr>
          <w:t>http://www.vichealth.vic.gov.au/en/Programs-and-Projects/Healthy-Eating.aspx</w:t>
        </w:r>
      </w:hyperlink>
      <w:r w:rsidR="002E6849">
        <w:rPr>
          <w:rFonts w:ascii="Calibri" w:hAnsi="Calibri" w:cs="Calibri"/>
        </w:rPr>
        <w:t xml:space="preserve">  </w:t>
      </w:r>
      <w:hyperlink r:id="rId12" w:history="1">
        <w:r w:rsidR="00323547" w:rsidRPr="003B4B46">
          <w:rPr>
            <w:rStyle w:val="Hyperlink"/>
            <w:rFonts w:ascii="Calibri" w:hAnsi="Calibri" w:cs="Calibri"/>
          </w:rPr>
          <w:t>http://www.vichealth.vic.gov.au/Programs-and-Projects/Physical-Activity/Physical-activity-programs.aspx</w:t>
        </w:r>
      </w:hyperlink>
    </w:p>
    <w:p w:rsidR="002401A0" w:rsidRDefault="002401A0" w:rsidP="000D51DF">
      <w:pPr>
        <w:rPr>
          <w:rFonts w:cstheme="minorHAnsi"/>
          <w:b/>
          <w:sz w:val="32"/>
          <w:szCs w:val="32"/>
          <w:u w:val="single"/>
        </w:rPr>
      </w:pPr>
    </w:p>
    <w:p w:rsidR="00323547" w:rsidRPr="00C42616" w:rsidRDefault="00C42616" w:rsidP="000D51DF">
      <w:pPr>
        <w:rPr>
          <w:rFonts w:cstheme="minorHAnsi"/>
          <w:b/>
          <w:sz w:val="32"/>
          <w:szCs w:val="32"/>
          <w:u w:val="single"/>
        </w:rPr>
      </w:pPr>
      <w:r w:rsidRPr="00C42616">
        <w:rPr>
          <w:rFonts w:cstheme="minorHAnsi"/>
          <w:b/>
          <w:sz w:val="32"/>
          <w:szCs w:val="32"/>
          <w:u w:val="single"/>
        </w:rPr>
        <w:lastRenderedPageBreak/>
        <w:t>TABLE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6"/>
        <w:gridCol w:w="3470"/>
        <w:gridCol w:w="3696"/>
      </w:tblGrid>
      <w:tr w:rsidR="00370DBD" w:rsidTr="00BD7B63">
        <w:tc>
          <w:tcPr>
            <w:tcW w:w="5000" w:type="pct"/>
            <w:gridSpan w:val="3"/>
            <w:shd w:val="clear" w:color="auto" w:fill="B6DDE8" w:themeFill="accent5" w:themeFillTint="66"/>
          </w:tcPr>
          <w:p w:rsidR="00370DBD" w:rsidRPr="00370DBD" w:rsidRDefault="00370DBD" w:rsidP="00370D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DBD">
              <w:rPr>
                <w:rFonts w:cstheme="minorHAnsi"/>
                <w:b/>
                <w:sz w:val="28"/>
                <w:szCs w:val="28"/>
              </w:rPr>
              <w:t xml:space="preserve">Summary of the Survey Findings </w:t>
            </w:r>
            <w:r w:rsidR="00741D86">
              <w:rPr>
                <w:rFonts w:cstheme="minorHAnsi"/>
                <w:b/>
                <w:sz w:val="28"/>
                <w:szCs w:val="28"/>
              </w:rPr>
              <w:t>–</w:t>
            </w:r>
            <w:r w:rsidRPr="00370DB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41D86">
              <w:rPr>
                <w:rFonts w:cstheme="minorHAnsi"/>
                <w:b/>
                <w:sz w:val="28"/>
                <w:szCs w:val="28"/>
              </w:rPr>
              <w:t xml:space="preserve">Food &amp; </w:t>
            </w:r>
            <w:r w:rsidRPr="00370DBD">
              <w:rPr>
                <w:rFonts w:cstheme="minorHAnsi"/>
                <w:b/>
                <w:sz w:val="28"/>
                <w:szCs w:val="28"/>
              </w:rPr>
              <w:t>Nutrition</w:t>
            </w:r>
          </w:p>
        </w:tc>
      </w:tr>
      <w:tr w:rsidR="00370DBD" w:rsidTr="00C42616">
        <w:tc>
          <w:tcPr>
            <w:tcW w:w="1646" w:type="pct"/>
          </w:tcPr>
          <w:p w:rsidR="00370DBD" w:rsidRPr="00370DBD" w:rsidRDefault="00741D86" w:rsidP="00370D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Food &amp; </w:t>
            </w:r>
            <w:r w:rsidR="00370DBD" w:rsidRPr="00370DBD">
              <w:rPr>
                <w:rFonts w:cstheme="minorHAnsi"/>
                <w:b/>
              </w:rPr>
              <w:t>Nutrition</w:t>
            </w:r>
          </w:p>
        </w:tc>
        <w:tc>
          <w:tcPr>
            <w:tcW w:w="1624" w:type="pct"/>
          </w:tcPr>
          <w:p w:rsidR="00370DBD" w:rsidRPr="00370DBD" w:rsidRDefault="00370DBD" w:rsidP="00370DBD">
            <w:pPr>
              <w:jc w:val="center"/>
              <w:rPr>
                <w:rFonts w:cstheme="minorHAnsi"/>
                <w:b/>
              </w:rPr>
            </w:pPr>
            <w:r w:rsidRPr="00370DBD">
              <w:rPr>
                <w:rFonts w:cstheme="minorHAnsi"/>
                <w:b/>
              </w:rPr>
              <w:t>Key points from the survey</w:t>
            </w:r>
          </w:p>
        </w:tc>
        <w:tc>
          <w:tcPr>
            <w:tcW w:w="1730" w:type="pct"/>
          </w:tcPr>
          <w:p w:rsidR="00370DBD" w:rsidRPr="00370DBD" w:rsidRDefault="00370DBD" w:rsidP="00370DBD">
            <w:pPr>
              <w:jc w:val="center"/>
              <w:rPr>
                <w:rFonts w:cstheme="minorHAnsi"/>
                <w:b/>
              </w:rPr>
            </w:pPr>
            <w:r w:rsidRPr="00370DBD">
              <w:rPr>
                <w:rFonts w:cstheme="minorHAnsi"/>
                <w:b/>
              </w:rPr>
              <w:t>Implication for Health</w:t>
            </w:r>
            <w:r w:rsidR="007B1791">
              <w:rPr>
                <w:rFonts w:cstheme="minorHAnsi"/>
                <w:b/>
              </w:rPr>
              <w:t xml:space="preserve"> into adulthood</w:t>
            </w:r>
          </w:p>
        </w:tc>
      </w:tr>
      <w:tr w:rsidR="00370DBD" w:rsidTr="00C42616">
        <w:tc>
          <w:tcPr>
            <w:tcW w:w="1646" w:type="pct"/>
          </w:tcPr>
          <w:p w:rsidR="00370DBD" w:rsidRDefault="007B1791" w:rsidP="00741D8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7D7084" w:rsidRDefault="007D7084" w:rsidP="00741D86">
            <w:pPr>
              <w:rPr>
                <w:rFonts w:cstheme="minorHAnsi"/>
              </w:rPr>
            </w:pPr>
            <w:r w:rsidRPr="007D7084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286F76E8" wp14:editId="57317680">
                  <wp:extent cx="2095500" cy="1676400"/>
                  <wp:effectExtent l="0" t="0" r="0" b="0"/>
                  <wp:docPr id="117762" name="Picture 5" descr="calcium-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62" name="Picture 5" descr="calcium-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14" cy="167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pct"/>
          </w:tcPr>
          <w:p w:rsidR="00741D86" w:rsidRPr="007D7084" w:rsidRDefault="00741D86" w:rsidP="00741D86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color w:val="414142"/>
                <w:sz w:val="20"/>
                <w:szCs w:val="20"/>
              </w:rPr>
            </w:pPr>
          </w:p>
          <w:p w:rsidR="00370DBD" w:rsidRPr="007D7084" w:rsidRDefault="00741D86" w:rsidP="00741D86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7D7084">
              <w:rPr>
                <w:rFonts w:eastAsia="FrutigerLTStd-Light" w:cstheme="minorHAnsi"/>
                <w:color w:val="414142"/>
                <w:sz w:val="20"/>
                <w:szCs w:val="20"/>
              </w:rPr>
              <w:t>The intake of milk products for 14–16 year old girls was approx. 30% lower than 2–3 year old girls.</w:t>
            </w:r>
          </w:p>
          <w:p w:rsidR="00741D86" w:rsidRPr="007D7084" w:rsidRDefault="00741D86" w:rsidP="00741D86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7D7084">
              <w:rPr>
                <w:rFonts w:eastAsia="FrutigerLTStd-Light" w:cstheme="minorHAnsi"/>
                <w:color w:val="414142"/>
                <w:sz w:val="20"/>
                <w:szCs w:val="20"/>
              </w:rPr>
              <w:t>The older girls (14–</w:t>
            </w:r>
            <w:r w:rsidR="007D7084"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16 years) appeared to </w:t>
            </w:r>
            <w:r w:rsidRPr="007D7084"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be most at risk of not meeting their dietary requirements for calcium (82–89% did not </w:t>
            </w:r>
            <w:r w:rsidR="00BD7B63">
              <w:rPr>
                <w:rFonts w:eastAsia="FrutigerLTStd-Light" w:cstheme="minorHAnsi"/>
                <w:color w:val="414142"/>
                <w:sz w:val="20"/>
                <w:szCs w:val="20"/>
              </w:rPr>
              <w:t>meet the EAR</w:t>
            </w:r>
            <w:r w:rsidRPr="007D7084">
              <w:rPr>
                <w:rFonts w:eastAsia="FrutigerLTStd-Light" w:cstheme="minorHAnsi"/>
                <w:color w:val="414142"/>
                <w:sz w:val="20"/>
                <w:szCs w:val="20"/>
              </w:rPr>
              <w:t>).</w:t>
            </w:r>
          </w:p>
          <w:p w:rsidR="00741D86" w:rsidRDefault="00741D86" w:rsidP="00741D86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7D7084">
              <w:rPr>
                <w:rFonts w:eastAsia="FrutigerLTStd-Light" w:cstheme="minorHAnsi"/>
                <w:color w:val="414142"/>
                <w:sz w:val="20"/>
                <w:szCs w:val="20"/>
              </w:rPr>
              <w:t>(EAR = The level of the nutrient required to meet the of half the healthy individuals of a specific sex &amp; age)</w:t>
            </w:r>
          </w:p>
          <w:p w:rsidR="00FA360A" w:rsidRPr="00FA360A" w:rsidRDefault="00FA360A" w:rsidP="00FA360A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FA360A">
              <w:rPr>
                <w:rFonts w:eastAsia="FrutigerLTStd-Light" w:cstheme="minorHAnsi"/>
                <w:color w:val="414142"/>
                <w:sz w:val="20"/>
                <w:szCs w:val="20"/>
              </w:rPr>
              <w:t>Similarly, older boys (14–</w:t>
            </w:r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16 years) were least </w:t>
            </w:r>
            <w:r w:rsidRPr="00FA360A">
              <w:rPr>
                <w:rFonts w:eastAsia="FrutigerLTStd-Light" w:cstheme="minorHAnsi"/>
                <w:color w:val="414142"/>
                <w:sz w:val="20"/>
                <w:szCs w:val="20"/>
              </w:rPr>
              <w:t>likely to reach their EAR for calcium (44% did</w:t>
            </w:r>
          </w:p>
          <w:p w:rsidR="007D7084" w:rsidRPr="007D7084" w:rsidRDefault="00FA360A" w:rsidP="00741D86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FA360A">
              <w:rPr>
                <w:rFonts w:eastAsia="FrutigerLTStd-Light" w:cstheme="minorHAnsi"/>
                <w:color w:val="414142"/>
                <w:sz w:val="20"/>
                <w:szCs w:val="20"/>
              </w:rPr>
              <w:t>not meet the EAR )</w:t>
            </w:r>
          </w:p>
        </w:tc>
        <w:tc>
          <w:tcPr>
            <w:tcW w:w="1730" w:type="pct"/>
          </w:tcPr>
          <w:p w:rsidR="00370DBD" w:rsidRPr="007D7084" w:rsidRDefault="00370DBD" w:rsidP="000D51DF">
            <w:pPr>
              <w:rPr>
                <w:rFonts w:cstheme="minorHAnsi"/>
                <w:sz w:val="20"/>
                <w:szCs w:val="20"/>
              </w:rPr>
            </w:pPr>
          </w:p>
          <w:p w:rsidR="007D7084" w:rsidRPr="007D7084" w:rsidRDefault="007D7084" w:rsidP="007D7084">
            <w:pPr>
              <w:rPr>
                <w:rFonts w:cstheme="minorHAnsi"/>
                <w:sz w:val="20"/>
                <w:szCs w:val="20"/>
              </w:rPr>
            </w:pPr>
            <w:r w:rsidRPr="007D7084">
              <w:rPr>
                <w:rFonts w:cstheme="minorHAnsi"/>
                <w:sz w:val="20"/>
                <w:szCs w:val="20"/>
              </w:rPr>
              <w:t>A food intake low in calcium &amp; phosphorus</w:t>
            </w:r>
          </w:p>
          <w:p w:rsidR="007D7084" w:rsidRDefault="007D7084" w:rsidP="007D7084">
            <w:pPr>
              <w:rPr>
                <w:rFonts w:cstheme="minorHAnsi"/>
                <w:sz w:val="20"/>
                <w:szCs w:val="20"/>
              </w:rPr>
            </w:pPr>
            <w:r w:rsidRPr="007D7084">
              <w:rPr>
                <w:rFonts w:cstheme="minorHAnsi"/>
                <w:sz w:val="20"/>
                <w:szCs w:val="20"/>
              </w:rPr>
              <w:t xml:space="preserve">Prevents bone from developing normally &amp; results in </w:t>
            </w:r>
            <w:r w:rsidRPr="00BD7B63">
              <w:rPr>
                <w:rFonts w:cstheme="minorHAnsi"/>
                <w:sz w:val="20"/>
                <w:szCs w:val="20"/>
                <w:u w:val="single"/>
              </w:rPr>
              <w:t>reduced bone mass</w:t>
            </w:r>
            <w:r w:rsidRPr="007D7084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7D7084">
              <w:rPr>
                <w:rFonts w:cstheme="minorHAnsi"/>
                <w:sz w:val="20"/>
                <w:szCs w:val="20"/>
              </w:rPr>
              <w:t>If</w:t>
            </w:r>
            <w:r w:rsidR="00FA360A">
              <w:rPr>
                <w:rFonts w:cstheme="minorHAnsi"/>
                <w:sz w:val="20"/>
                <w:szCs w:val="20"/>
              </w:rPr>
              <w:t xml:space="preserve"> </w:t>
            </w:r>
            <w:r w:rsidRPr="007D7084">
              <w:rPr>
                <w:rFonts w:cstheme="minorHAnsi"/>
                <w:sz w:val="20"/>
                <w:szCs w:val="20"/>
              </w:rPr>
              <w:t xml:space="preserve"> peak</w:t>
            </w:r>
            <w:proofErr w:type="gramEnd"/>
            <w:r w:rsidRPr="007D7084">
              <w:rPr>
                <w:rFonts w:cstheme="minorHAnsi"/>
                <w:sz w:val="20"/>
                <w:szCs w:val="20"/>
              </w:rPr>
              <w:t xml:space="preserve"> bone mass </w:t>
            </w:r>
            <w:r w:rsidR="00FA360A">
              <w:rPr>
                <w:rFonts w:cstheme="minorHAnsi"/>
                <w:sz w:val="20"/>
                <w:szCs w:val="20"/>
              </w:rPr>
              <w:t xml:space="preserve">is not achieved </w:t>
            </w:r>
            <w:r w:rsidRPr="007D7084">
              <w:rPr>
                <w:rFonts w:cstheme="minorHAnsi"/>
                <w:sz w:val="20"/>
                <w:szCs w:val="20"/>
              </w:rPr>
              <w:t>in adolescence</w:t>
            </w:r>
            <w:r w:rsidR="00FA360A">
              <w:rPr>
                <w:rFonts w:cstheme="minorHAnsi"/>
                <w:sz w:val="20"/>
                <w:szCs w:val="20"/>
              </w:rPr>
              <w:t xml:space="preserve"> </w:t>
            </w:r>
            <w:r w:rsidRPr="007D7084">
              <w:rPr>
                <w:rFonts w:cstheme="minorHAnsi"/>
                <w:sz w:val="20"/>
                <w:szCs w:val="20"/>
              </w:rPr>
              <w:t>/</w:t>
            </w:r>
            <w:r w:rsidR="00FA360A">
              <w:rPr>
                <w:rFonts w:cstheme="minorHAnsi"/>
                <w:sz w:val="20"/>
                <w:szCs w:val="20"/>
              </w:rPr>
              <w:t xml:space="preserve"> </w:t>
            </w:r>
            <w:r w:rsidRPr="007D7084">
              <w:rPr>
                <w:rFonts w:cstheme="minorHAnsi"/>
                <w:sz w:val="20"/>
                <w:szCs w:val="20"/>
              </w:rPr>
              <w:t>ear</w:t>
            </w:r>
            <w:r w:rsidR="00FA360A">
              <w:rPr>
                <w:rFonts w:cstheme="minorHAnsi"/>
                <w:sz w:val="20"/>
                <w:szCs w:val="20"/>
              </w:rPr>
              <w:t>l</w:t>
            </w:r>
            <w:r w:rsidRPr="007D7084">
              <w:rPr>
                <w:rFonts w:cstheme="minorHAnsi"/>
                <w:sz w:val="20"/>
                <w:szCs w:val="20"/>
              </w:rPr>
              <w:t xml:space="preserve">y adulthood there is an increased risk of </w:t>
            </w:r>
            <w:r w:rsidRPr="00BD7B63">
              <w:rPr>
                <w:rFonts w:cstheme="minorHAnsi"/>
                <w:sz w:val="20"/>
                <w:szCs w:val="20"/>
                <w:u w:val="single"/>
              </w:rPr>
              <w:t>osteoporosis</w:t>
            </w:r>
            <w:r w:rsidRPr="007D7084">
              <w:rPr>
                <w:rFonts w:cstheme="minorHAnsi"/>
                <w:sz w:val="20"/>
                <w:szCs w:val="20"/>
              </w:rPr>
              <w:t xml:space="preserve"> later in life.</w:t>
            </w:r>
          </w:p>
          <w:p w:rsidR="00FA360A" w:rsidRPr="007D7084" w:rsidRDefault="00FA360A" w:rsidP="007D7084">
            <w:pPr>
              <w:rPr>
                <w:rFonts w:cstheme="minorHAnsi"/>
                <w:sz w:val="20"/>
                <w:szCs w:val="20"/>
              </w:rPr>
            </w:pPr>
          </w:p>
          <w:p w:rsidR="007D7084" w:rsidRPr="007D7084" w:rsidRDefault="007D7084" w:rsidP="00FA360A">
            <w:pPr>
              <w:rPr>
                <w:rFonts w:cstheme="minorHAnsi"/>
                <w:sz w:val="20"/>
                <w:szCs w:val="20"/>
              </w:rPr>
            </w:pPr>
            <w:r w:rsidRPr="007D7084">
              <w:rPr>
                <w:rFonts w:cstheme="minorHAnsi"/>
                <w:sz w:val="20"/>
                <w:szCs w:val="20"/>
              </w:rPr>
              <w:t>Esp</w:t>
            </w:r>
            <w:r w:rsidR="00FA360A">
              <w:rPr>
                <w:rFonts w:cstheme="minorHAnsi"/>
                <w:sz w:val="20"/>
                <w:szCs w:val="20"/>
              </w:rPr>
              <w:t>ecially</w:t>
            </w:r>
            <w:r w:rsidRPr="007D7084">
              <w:rPr>
                <w:rFonts w:cstheme="minorHAnsi"/>
                <w:sz w:val="20"/>
                <w:szCs w:val="20"/>
              </w:rPr>
              <w:t xml:space="preserve"> important for girls as after menopause calcium is lost from bones more quickly due to </w:t>
            </w:r>
            <w:r w:rsidR="00FA360A">
              <w:rPr>
                <w:rFonts w:cstheme="minorHAnsi"/>
                <w:sz w:val="20"/>
                <w:szCs w:val="20"/>
              </w:rPr>
              <w:t xml:space="preserve">lowered oestrogen levels </w:t>
            </w:r>
            <w:r w:rsidRPr="007D708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0DBD" w:rsidTr="00C42616">
        <w:tc>
          <w:tcPr>
            <w:tcW w:w="1646" w:type="pct"/>
          </w:tcPr>
          <w:p w:rsidR="00323547" w:rsidRDefault="00323547" w:rsidP="000D51DF">
            <w:pPr>
              <w:rPr>
                <w:rFonts w:cstheme="minorHAnsi"/>
              </w:rPr>
            </w:pPr>
          </w:p>
          <w:p w:rsidR="00370DBD" w:rsidRDefault="007B1791" w:rsidP="000D51DF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323547" w:rsidRDefault="00323547" w:rsidP="000D51DF">
            <w:pPr>
              <w:rPr>
                <w:rFonts w:cstheme="minorHAnsi"/>
              </w:rPr>
            </w:pPr>
          </w:p>
        </w:tc>
        <w:tc>
          <w:tcPr>
            <w:tcW w:w="1624" w:type="pct"/>
          </w:tcPr>
          <w:p w:rsidR="00370DBD" w:rsidRDefault="00370DBD" w:rsidP="000D51DF">
            <w:pPr>
              <w:rPr>
                <w:rFonts w:cstheme="minorHAnsi"/>
              </w:rPr>
            </w:pPr>
          </w:p>
        </w:tc>
        <w:tc>
          <w:tcPr>
            <w:tcW w:w="1730" w:type="pct"/>
          </w:tcPr>
          <w:p w:rsidR="00370DBD" w:rsidRDefault="00370DBD" w:rsidP="000D51DF">
            <w:pPr>
              <w:rPr>
                <w:rFonts w:cstheme="minorHAnsi"/>
              </w:rPr>
            </w:pPr>
          </w:p>
        </w:tc>
      </w:tr>
      <w:tr w:rsidR="00370DBD" w:rsidTr="00C42616">
        <w:tc>
          <w:tcPr>
            <w:tcW w:w="1646" w:type="pct"/>
          </w:tcPr>
          <w:p w:rsidR="00323547" w:rsidRDefault="00323547" w:rsidP="000D51DF">
            <w:pPr>
              <w:rPr>
                <w:rFonts w:cstheme="minorHAnsi"/>
              </w:rPr>
            </w:pPr>
          </w:p>
          <w:p w:rsidR="00370DBD" w:rsidRDefault="007B1791" w:rsidP="000D51D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323547" w:rsidRDefault="00323547" w:rsidP="000D51DF">
            <w:pPr>
              <w:rPr>
                <w:rFonts w:cstheme="minorHAnsi"/>
              </w:rPr>
            </w:pPr>
          </w:p>
        </w:tc>
        <w:tc>
          <w:tcPr>
            <w:tcW w:w="1624" w:type="pct"/>
          </w:tcPr>
          <w:p w:rsidR="00370DBD" w:rsidRDefault="00370DBD" w:rsidP="000D51DF">
            <w:pPr>
              <w:rPr>
                <w:rFonts w:cstheme="minorHAnsi"/>
              </w:rPr>
            </w:pPr>
          </w:p>
        </w:tc>
        <w:tc>
          <w:tcPr>
            <w:tcW w:w="1730" w:type="pct"/>
          </w:tcPr>
          <w:p w:rsidR="00370DBD" w:rsidRDefault="00370DBD" w:rsidP="000D51DF">
            <w:pPr>
              <w:rPr>
                <w:rFonts w:cstheme="minorHAnsi"/>
              </w:rPr>
            </w:pPr>
          </w:p>
        </w:tc>
      </w:tr>
      <w:tr w:rsidR="00370DBD" w:rsidTr="00C42616">
        <w:tc>
          <w:tcPr>
            <w:tcW w:w="1646" w:type="pct"/>
          </w:tcPr>
          <w:p w:rsidR="00323547" w:rsidRDefault="00323547" w:rsidP="000D51DF">
            <w:pPr>
              <w:rPr>
                <w:rFonts w:cstheme="minorHAnsi"/>
              </w:rPr>
            </w:pPr>
          </w:p>
          <w:p w:rsidR="00323547" w:rsidRDefault="007B1791" w:rsidP="000D51DF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:rsidR="002401A0" w:rsidRDefault="002401A0" w:rsidP="000D51DF">
            <w:pPr>
              <w:rPr>
                <w:rFonts w:cstheme="minorHAnsi"/>
              </w:rPr>
            </w:pPr>
          </w:p>
        </w:tc>
        <w:tc>
          <w:tcPr>
            <w:tcW w:w="1624" w:type="pct"/>
          </w:tcPr>
          <w:p w:rsidR="00370DBD" w:rsidRDefault="00370DBD" w:rsidP="000D51DF">
            <w:pPr>
              <w:rPr>
                <w:rFonts w:cstheme="minorHAnsi"/>
              </w:rPr>
            </w:pPr>
          </w:p>
        </w:tc>
        <w:tc>
          <w:tcPr>
            <w:tcW w:w="1730" w:type="pct"/>
          </w:tcPr>
          <w:p w:rsidR="00370DBD" w:rsidRDefault="00370DBD" w:rsidP="000D51DF">
            <w:pPr>
              <w:rPr>
                <w:rFonts w:cstheme="minorHAnsi"/>
              </w:rPr>
            </w:pPr>
          </w:p>
        </w:tc>
      </w:tr>
    </w:tbl>
    <w:p w:rsidR="00C42616" w:rsidRPr="00C42616" w:rsidRDefault="00C42616" w:rsidP="000D51DF">
      <w:pPr>
        <w:rPr>
          <w:rFonts w:cstheme="minorHAnsi"/>
          <w:b/>
          <w:sz w:val="16"/>
          <w:szCs w:val="16"/>
          <w:u w:val="single"/>
        </w:rPr>
      </w:pPr>
    </w:p>
    <w:p w:rsidR="00370DBD" w:rsidRPr="00C42616" w:rsidRDefault="00C42616" w:rsidP="000D51DF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TABLE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5"/>
        <w:gridCol w:w="3935"/>
        <w:gridCol w:w="4162"/>
      </w:tblGrid>
      <w:tr w:rsidR="00BD7B63" w:rsidRPr="00370DBD" w:rsidTr="00BD7B63">
        <w:tc>
          <w:tcPr>
            <w:tcW w:w="5000" w:type="pct"/>
            <w:gridSpan w:val="3"/>
            <w:shd w:val="clear" w:color="auto" w:fill="FFFF00"/>
          </w:tcPr>
          <w:p w:rsidR="00BD7B63" w:rsidRPr="00370DBD" w:rsidRDefault="00BD7B63" w:rsidP="00C426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DBD">
              <w:rPr>
                <w:rFonts w:cstheme="minorHAnsi"/>
                <w:b/>
                <w:sz w:val="28"/>
                <w:szCs w:val="28"/>
              </w:rPr>
              <w:t xml:space="preserve">Summary of the Survey Findings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370DB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Physical Activity</w:t>
            </w:r>
            <w:r w:rsidR="00C42616">
              <w:rPr>
                <w:rFonts w:cstheme="minorHAnsi"/>
                <w:b/>
                <w:sz w:val="28"/>
                <w:szCs w:val="28"/>
              </w:rPr>
              <w:t xml:space="preserve"> &amp; Body Size </w:t>
            </w:r>
          </w:p>
        </w:tc>
      </w:tr>
      <w:tr w:rsidR="00BD7B63" w:rsidRPr="00370DBD" w:rsidTr="00BD7B63">
        <w:tc>
          <w:tcPr>
            <w:tcW w:w="1210" w:type="pct"/>
          </w:tcPr>
          <w:p w:rsidR="00BD7B63" w:rsidRPr="00370DBD" w:rsidRDefault="00BD7B63" w:rsidP="00AC1F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Physical Activity</w:t>
            </w:r>
          </w:p>
        </w:tc>
        <w:tc>
          <w:tcPr>
            <w:tcW w:w="1842" w:type="pct"/>
          </w:tcPr>
          <w:p w:rsidR="00BD7B63" w:rsidRPr="00370DBD" w:rsidRDefault="00BD7B63" w:rsidP="00AC1F89">
            <w:pPr>
              <w:jc w:val="center"/>
              <w:rPr>
                <w:rFonts w:cstheme="minorHAnsi"/>
                <w:b/>
              </w:rPr>
            </w:pPr>
            <w:r w:rsidRPr="00370DBD">
              <w:rPr>
                <w:rFonts w:cstheme="minorHAnsi"/>
                <w:b/>
              </w:rPr>
              <w:t>Key points from the survey</w:t>
            </w:r>
          </w:p>
        </w:tc>
        <w:tc>
          <w:tcPr>
            <w:tcW w:w="1948" w:type="pct"/>
          </w:tcPr>
          <w:p w:rsidR="00BD7B63" w:rsidRPr="00370DBD" w:rsidRDefault="00BD7B63" w:rsidP="00AC1F89">
            <w:pPr>
              <w:jc w:val="center"/>
              <w:rPr>
                <w:rFonts w:cstheme="minorHAnsi"/>
                <w:b/>
              </w:rPr>
            </w:pPr>
            <w:r w:rsidRPr="00370DBD">
              <w:rPr>
                <w:rFonts w:cstheme="minorHAnsi"/>
                <w:b/>
              </w:rPr>
              <w:t>Implication for Health</w:t>
            </w:r>
            <w:r w:rsidR="007B1791">
              <w:rPr>
                <w:rFonts w:cstheme="minorHAnsi"/>
                <w:b/>
              </w:rPr>
              <w:t xml:space="preserve"> into adulthood</w:t>
            </w:r>
          </w:p>
        </w:tc>
      </w:tr>
      <w:tr w:rsidR="00BD7B63" w:rsidRPr="007D7084" w:rsidTr="00BD7B63">
        <w:tc>
          <w:tcPr>
            <w:tcW w:w="1210" w:type="pct"/>
          </w:tcPr>
          <w:p w:rsidR="00BD7B63" w:rsidRPr="00323547" w:rsidRDefault="00323547" w:rsidP="0032354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 w:rsidR="00BD7B63" w:rsidRPr="00323547">
              <w:rPr>
                <w:rFonts w:cstheme="minorHAnsi"/>
                <w:b/>
                <w:sz w:val="20"/>
                <w:szCs w:val="20"/>
              </w:rPr>
              <w:t>Levels of physical activity</w:t>
            </w:r>
          </w:p>
          <w:p w:rsidR="00BD7B63" w:rsidRDefault="00BD7B63" w:rsidP="00AC1F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7B63" w:rsidRPr="00BD7B63" w:rsidRDefault="00BD7B63" w:rsidP="00AC1F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9BECA3" wp14:editId="3BD1DE6A">
                  <wp:extent cx="1495424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93" cy="137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</w:tcPr>
          <w:p w:rsidR="00BD7B63" w:rsidRDefault="00BD7B63" w:rsidP="00BD7B63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</w:p>
          <w:p w:rsidR="00BD7B63" w:rsidRDefault="00BD7B63" w:rsidP="00BD7B63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</w:p>
          <w:p w:rsidR="00D029B8" w:rsidRDefault="00D029B8" w:rsidP="00BD7B63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D029B8">
              <w:rPr>
                <w:rFonts w:eastAsia="FrutigerLTStd-Light" w:cstheme="minorHAnsi"/>
                <w:color w:val="414142"/>
                <w:sz w:val="20"/>
                <w:szCs w:val="20"/>
              </w:rPr>
              <w:t>Underweight an</w:t>
            </w:r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d obese children tended to have </w:t>
            </w:r>
            <w:r w:rsidRPr="00D029B8">
              <w:rPr>
                <w:rFonts w:eastAsia="FrutigerLTStd-Light" w:cstheme="minorHAnsi"/>
                <w:color w:val="414142"/>
                <w:sz w:val="20"/>
                <w:szCs w:val="20"/>
              </w:rPr>
              <w:t>a lower physical acti</w:t>
            </w:r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>vity level (</w:t>
            </w:r>
            <w:proofErr w:type="gramStart"/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>PAL )</w:t>
            </w:r>
            <w:proofErr w:type="gramEnd"/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 than children </w:t>
            </w:r>
            <w:r w:rsidRPr="00D029B8">
              <w:rPr>
                <w:rFonts w:eastAsia="FrutigerLTStd-Light" w:cstheme="minorHAnsi"/>
                <w:color w:val="414142"/>
                <w:sz w:val="20"/>
                <w:szCs w:val="20"/>
              </w:rPr>
              <w:t>of normal weight.</w:t>
            </w:r>
          </w:p>
          <w:p w:rsidR="00D029B8" w:rsidRDefault="00D029B8" w:rsidP="00BD7B63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</w:p>
          <w:p w:rsidR="00BD7B63" w:rsidRPr="00BD7B63" w:rsidRDefault="00BD7B63" w:rsidP="00BD7B63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  <w:r w:rsidRPr="00BD7B63">
              <w:rPr>
                <w:rFonts w:eastAsia="FrutigerLTStd-Light" w:cstheme="minorHAnsi"/>
                <w:color w:val="414142"/>
                <w:sz w:val="20"/>
                <w:szCs w:val="20"/>
              </w:rPr>
              <w:t>Adolescent girls ac</w:t>
            </w:r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hieved lower levels of physical </w:t>
            </w:r>
            <w:r w:rsidRPr="00BD7B63">
              <w:rPr>
                <w:rFonts w:eastAsia="FrutigerLTStd-Light" w:cstheme="minorHAnsi"/>
                <w:color w:val="414142"/>
                <w:sz w:val="20"/>
                <w:szCs w:val="20"/>
              </w:rPr>
              <w:t>activity than boys and fewer girls aged 14–</w:t>
            </w:r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16 </w:t>
            </w:r>
            <w:r w:rsidRPr="00BD7B63">
              <w:rPr>
                <w:rFonts w:eastAsia="FrutigerLTStd-Light" w:cstheme="minorHAnsi"/>
                <w:color w:val="414142"/>
                <w:sz w:val="20"/>
                <w:szCs w:val="20"/>
              </w:rPr>
              <w:t>years complied with t</w:t>
            </w:r>
            <w:r>
              <w:rPr>
                <w:rFonts w:eastAsia="FrutigerLTStd-Light" w:cstheme="minorHAnsi"/>
                <w:color w:val="414142"/>
                <w:sz w:val="20"/>
                <w:szCs w:val="20"/>
              </w:rPr>
              <w:t xml:space="preserve">he physical activity guidelines </w:t>
            </w:r>
            <w:r w:rsidRPr="00BD7B63">
              <w:rPr>
                <w:rFonts w:eastAsia="FrutigerLTStd-Light" w:cstheme="minorHAnsi"/>
                <w:color w:val="414142"/>
                <w:sz w:val="20"/>
                <w:szCs w:val="20"/>
              </w:rPr>
              <w:t>than boys.</w:t>
            </w:r>
          </w:p>
          <w:p w:rsidR="00BD7B63" w:rsidRPr="00BD7B63" w:rsidRDefault="00BD7B63" w:rsidP="00D029B8">
            <w:pPr>
              <w:autoSpaceDE w:val="0"/>
              <w:autoSpaceDN w:val="0"/>
              <w:adjustRightInd w:val="0"/>
              <w:rPr>
                <w:rFonts w:eastAsia="FrutigerLTStd-Light" w:cstheme="minorHAnsi"/>
                <w:color w:val="414142"/>
                <w:sz w:val="20"/>
                <w:szCs w:val="20"/>
              </w:rPr>
            </w:pPr>
          </w:p>
        </w:tc>
        <w:tc>
          <w:tcPr>
            <w:tcW w:w="1948" w:type="pct"/>
          </w:tcPr>
          <w:p w:rsidR="00BD7B63" w:rsidRPr="007D7084" w:rsidRDefault="00BD7B63" w:rsidP="00AC1F89">
            <w:pPr>
              <w:rPr>
                <w:rFonts w:cstheme="minorHAnsi"/>
                <w:sz w:val="20"/>
                <w:szCs w:val="20"/>
              </w:rPr>
            </w:pPr>
          </w:p>
          <w:p w:rsidR="00BD7B63" w:rsidRDefault="00BD7B63" w:rsidP="00AC1F89">
            <w:pPr>
              <w:rPr>
                <w:rFonts w:cstheme="minorHAnsi"/>
                <w:sz w:val="20"/>
                <w:szCs w:val="20"/>
              </w:rPr>
            </w:pPr>
            <w:r w:rsidRPr="007D708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29B8" w:rsidRDefault="00D029B8" w:rsidP="00D02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Excess body weight in childhood:</w:t>
            </w:r>
          </w:p>
          <w:p w:rsidR="00D029B8" w:rsidRDefault="00D029B8" w:rsidP="00D02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Overweight young people are more likely to be overweight or obese in adulthood</w:t>
            </w:r>
          </w:p>
          <w:p w:rsidR="00D029B8" w:rsidRDefault="00D029B8" w:rsidP="00AC1F89">
            <w:pPr>
              <w:rPr>
                <w:rFonts w:cstheme="minorHAnsi"/>
                <w:sz w:val="20"/>
                <w:szCs w:val="20"/>
              </w:rPr>
            </w:pPr>
          </w:p>
          <w:p w:rsidR="00C42616" w:rsidRDefault="00D029B8" w:rsidP="00AC1F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C42616">
              <w:rPr>
                <w:rFonts w:cstheme="minorHAnsi"/>
                <w:sz w:val="20"/>
                <w:szCs w:val="20"/>
              </w:rPr>
              <w:t>nadequate physical activity can lead to putting on excess weight when food intake is greater than energy expended</w:t>
            </w:r>
          </w:p>
          <w:p w:rsidR="00C42616" w:rsidRDefault="00C42616" w:rsidP="00AC1F89">
            <w:pPr>
              <w:rPr>
                <w:rFonts w:cstheme="minorHAnsi"/>
                <w:sz w:val="20"/>
                <w:szCs w:val="20"/>
              </w:rPr>
            </w:pPr>
          </w:p>
          <w:p w:rsidR="00C42616" w:rsidRDefault="00C42616" w:rsidP="00AC1F89">
            <w:pPr>
              <w:rPr>
                <w:rFonts w:cstheme="minorHAnsi"/>
                <w:sz w:val="20"/>
                <w:szCs w:val="20"/>
              </w:rPr>
            </w:pPr>
          </w:p>
          <w:p w:rsidR="00C42616" w:rsidRPr="007D7084" w:rsidRDefault="00C42616" w:rsidP="00AC1F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7B63" w:rsidTr="00BD7B63">
        <w:tc>
          <w:tcPr>
            <w:tcW w:w="1210" w:type="pct"/>
          </w:tcPr>
          <w:p w:rsidR="00323547" w:rsidRDefault="00323547" w:rsidP="00AC1F89">
            <w:pPr>
              <w:rPr>
                <w:rFonts w:cstheme="minorHAnsi"/>
              </w:rPr>
            </w:pPr>
          </w:p>
          <w:p w:rsidR="00BD7B63" w:rsidRDefault="00BD7B63" w:rsidP="00AC1F8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2401A0" w:rsidRDefault="002401A0" w:rsidP="00AC1F89">
            <w:pPr>
              <w:rPr>
                <w:rFonts w:cstheme="minorHAnsi"/>
              </w:rPr>
            </w:pPr>
          </w:p>
          <w:p w:rsidR="00F566C1" w:rsidRDefault="00F566C1" w:rsidP="00AC1F89">
            <w:pPr>
              <w:rPr>
                <w:rFonts w:cstheme="minorHAnsi"/>
              </w:rPr>
            </w:pPr>
          </w:p>
          <w:p w:rsidR="00F566C1" w:rsidRDefault="00F566C1" w:rsidP="00AC1F89">
            <w:pPr>
              <w:rPr>
                <w:rFonts w:cstheme="minorHAnsi"/>
              </w:rPr>
            </w:pPr>
          </w:p>
        </w:tc>
        <w:tc>
          <w:tcPr>
            <w:tcW w:w="1842" w:type="pct"/>
          </w:tcPr>
          <w:p w:rsidR="00BD7B63" w:rsidRDefault="00BD7B63" w:rsidP="00AC1F89">
            <w:pPr>
              <w:rPr>
                <w:rFonts w:cstheme="minorHAnsi"/>
              </w:rPr>
            </w:pPr>
          </w:p>
        </w:tc>
        <w:tc>
          <w:tcPr>
            <w:tcW w:w="1948" w:type="pct"/>
          </w:tcPr>
          <w:p w:rsidR="00BD7B63" w:rsidRDefault="00BD7B63" w:rsidP="00AC1F89">
            <w:pPr>
              <w:rPr>
                <w:rFonts w:cstheme="minorHAnsi"/>
              </w:rPr>
            </w:pPr>
          </w:p>
        </w:tc>
      </w:tr>
      <w:tr w:rsidR="00BD7B63" w:rsidTr="00BD7B63">
        <w:tc>
          <w:tcPr>
            <w:tcW w:w="1210" w:type="pct"/>
          </w:tcPr>
          <w:p w:rsidR="00323547" w:rsidRDefault="00323547" w:rsidP="00AC1F89">
            <w:pPr>
              <w:rPr>
                <w:rFonts w:cstheme="minorHAnsi"/>
              </w:rPr>
            </w:pPr>
          </w:p>
          <w:p w:rsidR="00BD7B63" w:rsidRDefault="00BD7B63" w:rsidP="00AC1F8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323547" w:rsidRDefault="00323547" w:rsidP="00AC1F89">
            <w:pPr>
              <w:rPr>
                <w:rFonts w:cstheme="minorHAnsi"/>
              </w:rPr>
            </w:pPr>
          </w:p>
          <w:p w:rsidR="002401A0" w:rsidRDefault="002401A0" w:rsidP="00AC1F89">
            <w:pPr>
              <w:rPr>
                <w:rFonts w:cstheme="minorHAnsi"/>
              </w:rPr>
            </w:pPr>
          </w:p>
          <w:p w:rsidR="002401A0" w:rsidRDefault="002401A0" w:rsidP="00AC1F89">
            <w:pPr>
              <w:rPr>
                <w:rFonts w:cstheme="minorHAnsi"/>
              </w:rPr>
            </w:pPr>
          </w:p>
        </w:tc>
        <w:tc>
          <w:tcPr>
            <w:tcW w:w="1842" w:type="pct"/>
          </w:tcPr>
          <w:p w:rsidR="00BD7B63" w:rsidRDefault="00BD7B63" w:rsidP="00AC1F89">
            <w:pPr>
              <w:rPr>
                <w:rFonts w:cstheme="minorHAnsi"/>
              </w:rPr>
            </w:pPr>
          </w:p>
        </w:tc>
        <w:tc>
          <w:tcPr>
            <w:tcW w:w="1948" w:type="pct"/>
          </w:tcPr>
          <w:p w:rsidR="00BD7B63" w:rsidRDefault="00BD7B63" w:rsidP="00AC1F89">
            <w:pPr>
              <w:rPr>
                <w:rFonts w:cstheme="minorHAnsi"/>
              </w:rPr>
            </w:pPr>
          </w:p>
        </w:tc>
      </w:tr>
    </w:tbl>
    <w:p w:rsidR="002401A0" w:rsidRDefault="002401A0" w:rsidP="002401A0">
      <w:pPr>
        <w:rPr>
          <w:rFonts w:cstheme="minorHAnsi"/>
          <w:b/>
          <w:sz w:val="32"/>
          <w:szCs w:val="32"/>
          <w:u w:val="single"/>
        </w:rPr>
      </w:pPr>
    </w:p>
    <w:p w:rsidR="002401A0" w:rsidRDefault="002401A0" w:rsidP="002401A0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TABLE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"/>
        <w:gridCol w:w="707"/>
        <w:gridCol w:w="2842"/>
        <w:gridCol w:w="2970"/>
        <w:gridCol w:w="3487"/>
      </w:tblGrid>
      <w:tr w:rsidR="00D029B8" w:rsidTr="00F566C1">
        <w:trPr>
          <w:cantSplit/>
          <w:trHeight w:val="1183"/>
        </w:trPr>
        <w:tc>
          <w:tcPr>
            <w:tcW w:w="316" w:type="pct"/>
            <w:textDirection w:val="btLr"/>
          </w:tcPr>
          <w:p w:rsidR="00D029B8" w:rsidRPr="00F566C1" w:rsidRDefault="00D029B8" w:rsidP="00F566C1">
            <w:pPr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 w:rsidRPr="00F566C1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31" w:type="pct"/>
            <w:textDirection w:val="btLr"/>
          </w:tcPr>
          <w:p w:rsidR="00D029B8" w:rsidRPr="00F566C1" w:rsidRDefault="00D029B8" w:rsidP="00F566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6C1">
              <w:rPr>
                <w:rFonts w:cstheme="minorHAnsi"/>
                <w:b/>
                <w:sz w:val="24"/>
                <w:szCs w:val="24"/>
              </w:rPr>
              <w:t xml:space="preserve">Link to Survey </w:t>
            </w:r>
          </w:p>
        </w:tc>
        <w:tc>
          <w:tcPr>
            <w:tcW w:w="1330" w:type="pct"/>
          </w:tcPr>
          <w:p w:rsidR="00F566C1" w:rsidRDefault="00F566C1" w:rsidP="00D02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29B8" w:rsidRPr="00F566C1" w:rsidRDefault="00D029B8" w:rsidP="00D02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6C1">
              <w:rPr>
                <w:rFonts w:cstheme="minorHAnsi"/>
                <w:b/>
                <w:sz w:val="24"/>
                <w:szCs w:val="24"/>
              </w:rPr>
              <w:t>Explanation</w:t>
            </w:r>
            <w:r w:rsidR="003A16D7" w:rsidRPr="00F566C1">
              <w:rPr>
                <w:rFonts w:cstheme="minorHAnsi"/>
                <w:b/>
                <w:sz w:val="24"/>
                <w:szCs w:val="24"/>
              </w:rPr>
              <w:t xml:space="preserve"> of program</w:t>
            </w:r>
          </w:p>
        </w:tc>
        <w:tc>
          <w:tcPr>
            <w:tcW w:w="1390" w:type="pct"/>
          </w:tcPr>
          <w:p w:rsidR="00F566C1" w:rsidRDefault="00F566C1" w:rsidP="00D02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29B8" w:rsidRPr="00F566C1" w:rsidRDefault="003A16D7" w:rsidP="00D02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66C1">
              <w:rPr>
                <w:rFonts w:cstheme="minorHAnsi"/>
                <w:b/>
                <w:sz w:val="24"/>
                <w:szCs w:val="24"/>
              </w:rPr>
              <w:t xml:space="preserve">Specific </w:t>
            </w:r>
            <w:r w:rsidR="00F566C1">
              <w:rPr>
                <w:rFonts w:cstheme="minorHAnsi"/>
                <w:b/>
                <w:sz w:val="24"/>
                <w:szCs w:val="24"/>
              </w:rPr>
              <w:t>Action it take</w:t>
            </w:r>
            <w:r w:rsidRPr="00F566C1">
              <w:rPr>
                <w:rFonts w:cstheme="minorHAnsi"/>
                <w:b/>
                <w:sz w:val="24"/>
                <w:szCs w:val="24"/>
              </w:rPr>
              <w:t xml:space="preserve">s  </w:t>
            </w:r>
          </w:p>
        </w:tc>
        <w:tc>
          <w:tcPr>
            <w:tcW w:w="1632" w:type="pct"/>
          </w:tcPr>
          <w:p w:rsidR="00F566C1" w:rsidRDefault="00F566C1" w:rsidP="00D029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29B8" w:rsidRPr="00F566C1" w:rsidRDefault="00F566C1" w:rsidP="00F566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Implication </w:t>
            </w:r>
            <w:r w:rsidR="00D029B8" w:rsidRPr="00F566C1">
              <w:rPr>
                <w:rFonts w:cstheme="minorHAnsi"/>
                <w:b/>
                <w:sz w:val="24"/>
                <w:szCs w:val="24"/>
              </w:rPr>
              <w:t xml:space="preserve">for </w:t>
            </w:r>
            <w:r w:rsidR="00CB2613">
              <w:rPr>
                <w:rFonts w:cstheme="minorHAnsi"/>
                <w:b/>
                <w:sz w:val="24"/>
                <w:szCs w:val="24"/>
              </w:rPr>
              <w:t xml:space="preserve">Improved </w:t>
            </w:r>
            <w:r w:rsidR="00D029B8" w:rsidRPr="00F566C1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</w:tr>
      <w:tr w:rsidR="00D029B8" w:rsidTr="00F566C1">
        <w:trPr>
          <w:cantSplit/>
          <w:trHeight w:val="1134"/>
        </w:trPr>
        <w:tc>
          <w:tcPr>
            <w:tcW w:w="316" w:type="pct"/>
            <w:textDirection w:val="btLr"/>
          </w:tcPr>
          <w:p w:rsidR="00D029B8" w:rsidRPr="003A16D7" w:rsidRDefault="00D029B8" w:rsidP="00D029B8">
            <w:pPr>
              <w:pStyle w:val="ListParagraph"/>
              <w:numPr>
                <w:ilvl w:val="0"/>
                <w:numId w:val="8"/>
              </w:numPr>
              <w:ind w:right="113"/>
              <w:jc w:val="center"/>
              <w:rPr>
                <w:b/>
                <w:sz w:val="28"/>
                <w:szCs w:val="28"/>
              </w:rPr>
            </w:pPr>
            <w:r w:rsidRPr="003A16D7">
              <w:rPr>
                <w:b/>
                <w:sz w:val="28"/>
                <w:szCs w:val="28"/>
              </w:rPr>
              <w:t>Swap it, Don’t stop it</w:t>
            </w:r>
          </w:p>
          <w:p w:rsidR="00D029B8" w:rsidRDefault="00D029B8" w:rsidP="00D029B8">
            <w:pPr>
              <w:ind w:left="113" w:right="113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331" w:type="pct"/>
            <w:textDirection w:val="btLr"/>
          </w:tcPr>
          <w:p w:rsidR="00D029B8" w:rsidRPr="00D029B8" w:rsidRDefault="00D029B8" w:rsidP="00D029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D029B8">
              <w:rPr>
                <w:rFonts w:cstheme="minorHAnsi"/>
                <w:b/>
                <w:sz w:val="28"/>
                <w:szCs w:val="28"/>
              </w:rPr>
              <w:t>Levels of physical activity</w:t>
            </w:r>
          </w:p>
        </w:tc>
        <w:tc>
          <w:tcPr>
            <w:tcW w:w="1330" w:type="pct"/>
          </w:tcPr>
          <w:p w:rsidR="003A16D7" w:rsidRDefault="003A16D7" w:rsidP="00D029B8">
            <w:pPr>
              <w:rPr>
                <w:sz w:val="20"/>
                <w:szCs w:val="20"/>
              </w:rPr>
            </w:pPr>
          </w:p>
          <w:p w:rsidR="00D029B8" w:rsidRPr="002401A0" w:rsidRDefault="00D029B8" w:rsidP="00D029B8">
            <w:pPr>
              <w:rPr>
                <w:sz w:val="20"/>
                <w:szCs w:val="20"/>
              </w:rPr>
            </w:pPr>
            <w:r w:rsidRPr="002401A0">
              <w:rPr>
                <w:sz w:val="20"/>
                <w:szCs w:val="20"/>
              </w:rPr>
              <w:t>Federal Government program aims to show people how they can improve their health by making small changes to their daily routine</w:t>
            </w:r>
          </w:p>
          <w:p w:rsidR="00D029B8" w:rsidRDefault="00D029B8" w:rsidP="00D029B8">
            <w:pPr>
              <w:rPr>
                <w:sz w:val="20"/>
                <w:szCs w:val="20"/>
              </w:rPr>
            </w:pPr>
            <w:proofErr w:type="spellStart"/>
            <w:r w:rsidRPr="002401A0">
              <w:rPr>
                <w:sz w:val="20"/>
                <w:szCs w:val="20"/>
              </w:rPr>
              <w:t>Eg</w:t>
            </w:r>
            <w:proofErr w:type="spellEnd"/>
            <w:r w:rsidRPr="002401A0">
              <w:rPr>
                <w:sz w:val="20"/>
                <w:szCs w:val="20"/>
              </w:rPr>
              <w:t xml:space="preserve"> using the stairs instead of a lift</w:t>
            </w:r>
          </w:p>
          <w:p w:rsidR="003A16D7" w:rsidRPr="00F566C1" w:rsidRDefault="003A16D7" w:rsidP="00D029B8">
            <w:pPr>
              <w:rPr>
                <w:sz w:val="16"/>
                <w:szCs w:val="16"/>
              </w:rPr>
            </w:pPr>
          </w:p>
          <w:p w:rsidR="003A16D7" w:rsidRPr="002401A0" w:rsidRDefault="003A16D7" w:rsidP="003A16D7">
            <w:pPr>
              <w:rPr>
                <w:b/>
                <w:sz w:val="20"/>
                <w:szCs w:val="20"/>
              </w:rPr>
            </w:pPr>
            <w:r w:rsidRPr="002401A0">
              <w:rPr>
                <w:b/>
                <w:sz w:val="20"/>
                <w:szCs w:val="20"/>
              </w:rPr>
              <w:t xml:space="preserve">Targets </w:t>
            </w:r>
          </w:p>
          <w:p w:rsidR="003A16D7" w:rsidRPr="002401A0" w:rsidRDefault="003A16D7" w:rsidP="00D029B8">
            <w:pPr>
              <w:rPr>
                <w:sz w:val="20"/>
                <w:szCs w:val="20"/>
              </w:rPr>
            </w:pPr>
            <w:r w:rsidRPr="002401A0">
              <w:rPr>
                <w:sz w:val="20"/>
                <w:szCs w:val="20"/>
              </w:rPr>
              <w:t>Parents 25-50  as they influence their children</w:t>
            </w:r>
            <w:r>
              <w:rPr>
                <w:sz w:val="20"/>
                <w:szCs w:val="20"/>
              </w:rPr>
              <w:t>’s activity levels</w:t>
            </w:r>
            <w:r w:rsidRPr="002401A0">
              <w:rPr>
                <w:sz w:val="20"/>
                <w:szCs w:val="20"/>
              </w:rPr>
              <w:t xml:space="preserve"> </w:t>
            </w:r>
          </w:p>
          <w:p w:rsidR="00D029B8" w:rsidRPr="002401A0" w:rsidRDefault="00D029B8" w:rsidP="00D029B8">
            <w:pPr>
              <w:rPr>
                <w:sz w:val="20"/>
                <w:szCs w:val="20"/>
              </w:rPr>
            </w:pPr>
          </w:p>
          <w:p w:rsidR="00D029B8" w:rsidRDefault="003A16D7" w:rsidP="00D029B8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2401A0">
              <w:rPr>
                <w:sz w:val="28"/>
                <w:szCs w:val="28"/>
              </w:rPr>
              <w:object w:dxaOrig="10020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79.5pt" o:ole="">
                  <v:imagedata r:id="rId15" o:title=""/>
                </v:shape>
                <o:OLEObject Type="Embed" ProgID="PBrush" ShapeID="_x0000_i1025" DrawAspect="Content" ObjectID="_1399705928" r:id="rId16"/>
              </w:object>
            </w:r>
          </w:p>
        </w:tc>
        <w:tc>
          <w:tcPr>
            <w:tcW w:w="1390" w:type="pct"/>
          </w:tcPr>
          <w:p w:rsidR="003A16D7" w:rsidRDefault="003A16D7" w:rsidP="00D029B8">
            <w:pPr>
              <w:rPr>
                <w:b/>
                <w:sz w:val="20"/>
                <w:szCs w:val="20"/>
              </w:rPr>
            </w:pPr>
          </w:p>
          <w:p w:rsidR="00D029B8" w:rsidRPr="00D029B8" w:rsidRDefault="00D029B8" w:rsidP="00D029B8">
            <w:pPr>
              <w:rPr>
                <w:b/>
                <w:sz w:val="20"/>
                <w:szCs w:val="20"/>
              </w:rPr>
            </w:pPr>
            <w:r w:rsidRPr="00D029B8">
              <w:rPr>
                <w:b/>
                <w:sz w:val="20"/>
                <w:szCs w:val="20"/>
              </w:rPr>
              <w:t>Advertising campaign</w:t>
            </w:r>
          </w:p>
          <w:p w:rsid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 xml:space="preserve">Eric swaps less healthy activities </w:t>
            </w:r>
          </w:p>
          <w:p w:rsid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 xml:space="preserve">for healthier ones (TV, radio, </w:t>
            </w:r>
          </w:p>
          <w:p w:rsidR="00D029B8" w:rsidRP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>magazines, billboards, online)</w:t>
            </w:r>
          </w:p>
          <w:p w:rsidR="00D029B8" w:rsidRPr="00D029B8" w:rsidRDefault="00D029B8" w:rsidP="00D029B8">
            <w:pPr>
              <w:rPr>
                <w:b/>
                <w:sz w:val="20"/>
                <w:szCs w:val="20"/>
              </w:rPr>
            </w:pPr>
            <w:r w:rsidRPr="00D029B8">
              <w:rPr>
                <w:b/>
                <w:sz w:val="20"/>
                <w:szCs w:val="20"/>
              </w:rPr>
              <w:t>Website</w:t>
            </w:r>
          </w:p>
          <w:p w:rsid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 xml:space="preserve">Provides reasons for swapping, </w:t>
            </w:r>
          </w:p>
          <w:p w:rsidR="00D029B8" w:rsidRP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 xml:space="preserve">ways to swap, resources to download </w:t>
            </w:r>
            <w:proofErr w:type="spellStart"/>
            <w:r w:rsidRPr="00D029B8">
              <w:rPr>
                <w:sz w:val="20"/>
                <w:szCs w:val="20"/>
              </w:rPr>
              <w:t>eg</w:t>
            </w:r>
            <w:proofErr w:type="spellEnd"/>
          </w:p>
          <w:p w:rsidR="00D029B8" w:rsidRPr="00D029B8" w:rsidRDefault="00D029B8" w:rsidP="00D029B8">
            <w:pPr>
              <w:rPr>
                <w:b/>
                <w:sz w:val="20"/>
                <w:szCs w:val="20"/>
              </w:rPr>
            </w:pPr>
            <w:r w:rsidRPr="00D029B8">
              <w:rPr>
                <w:b/>
                <w:sz w:val="20"/>
                <w:szCs w:val="20"/>
              </w:rPr>
              <w:t>12 week program</w:t>
            </w:r>
          </w:p>
          <w:p w:rsidR="00D029B8" w:rsidRP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 xml:space="preserve">Template to plan activities, meals </w:t>
            </w:r>
          </w:p>
          <w:p w:rsidR="00D029B8" w:rsidRPr="00D029B8" w:rsidRDefault="00D029B8" w:rsidP="00D029B8">
            <w:pPr>
              <w:rPr>
                <w:b/>
                <w:sz w:val="20"/>
                <w:szCs w:val="20"/>
              </w:rPr>
            </w:pPr>
            <w:proofErr w:type="spellStart"/>
            <w:r w:rsidRPr="00D029B8">
              <w:rPr>
                <w:b/>
                <w:sz w:val="20"/>
                <w:szCs w:val="20"/>
              </w:rPr>
              <w:t>iphone</w:t>
            </w:r>
            <w:proofErr w:type="spellEnd"/>
            <w:r w:rsidRPr="00D029B8">
              <w:rPr>
                <w:b/>
                <w:sz w:val="20"/>
                <w:szCs w:val="20"/>
              </w:rPr>
              <w:t xml:space="preserve"> app</w:t>
            </w:r>
          </w:p>
          <w:p w:rsidR="00D029B8" w:rsidRDefault="00D029B8" w:rsidP="00D029B8">
            <w:pPr>
              <w:rPr>
                <w:sz w:val="20"/>
                <w:szCs w:val="20"/>
              </w:rPr>
            </w:pPr>
            <w:r w:rsidRPr="00D029B8">
              <w:rPr>
                <w:sz w:val="20"/>
                <w:szCs w:val="20"/>
              </w:rPr>
              <w:t>Tracks progress/ shopping lists</w:t>
            </w:r>
          </w:p>
          <w:p w:rsidR="00D029B8" w:rsidRDefault="00D029B8" w:rsidP="00D029B8">
            <w:pPr>
              <w:rPr>
                <w:sz w:val="20"/>
                <w:szCs w:val="20"/>
              </w:rPr>
            </w:pPr>
          </w:p>
          <w:p w:rsidR="00D029B8" w:rsidRDefault="00D029B8" w:rsidP="003A16D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632" w:type="pct"/>
          </w:tcPr>
          <w:p w:rsidR="00D029B8" w:rsidRDefault="00D029B8" w:rsidP="00D029B8">
            <w:pPr>
              <w:rPr>
                <w:rFonts w:cstheme="minorHAnsi"/>
                <w:b/>
                <w:sz w:val="20"/>
                <w:szCs w:val="20"/>
              </w:rPr>
            </w:pPr>
          </w:p>
          <w:p w:rsidR="003A16D7" w:rsidRDefault="003A16D7" w:rsidP="00D029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Addresses risk of:</w:t>
            </w:r>
          </w:p>
          <w:p w:rsidR="003A16D7" w:rsidRPr="003A16D7" w:rsidRDefault="003A16D7" w:rsidP="00D029B8">
            <w:pPr>
              <w:rPr>
                <w:rFonts w:cstheme="minorHAnsi"/>
                <w:b/>
                <w:sz w:val="16"/>
                <w:szCs w:val="16"/>
              </w:rPr>
            </w:pPr>
          </w:p>
          <w:p w:rsidR="00D029B8" w:rsidRDefault="00D029B8" w:rsidP="00D029B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29B8">
              <w:rPr>
                <w:rFonts w:cstheme="minorHAnsi"/>
                <w:b/>
                <w:sz w:val="20"/>
                <w:szCs w:val="20"/>
                <w:u w:val="single"/>
              </w:rPr>
              <w:t>Obesity:</w:t>
            </w:r>
          </w:p>
          <w:p w:rsidR="00D029B8" w:rsidRDefault="003A16D7" w:rsidP="003A16D7">
            <w:pPr>
              <w:rPr>
                <w:rFonts w:cstheme="minorHAnsi"/>
                <w:sz w:val="20"/>
                <w:szCs w:val="20"/>
              </w:rPr>
            </w:pPr>
            <w:r w:rsidRPr="003A16D7">
              <w:rPr>
                <w:rFonts w:cstheme="minorHAnsi"/>
                <w:sz w:val="20"/>
                <w:szCs w:val="20"/>
              </w:rPr>
              <w:t>Physical inactivity means less energy is expended which can lead to increased body weight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A16D7" w:rsidRDefault="003A16D7" w:rsidP="003A16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Obesity is a risk factor for CVD, Type 2 Diabetes &amp; some cancers</w:t>
            </w:r>
            <w:r w:rsidR="00F566C1">
              <w:rPr>
                <w:rFonts w:cstheme="minorHAnsi"/>
                <w:sz w:val="20"/>
                <w:szCs w:val="20"/>
              </w:rPr>
              <w:t xml:space="preserve"> in adulthood</w:t>
            </w:r>
          </w:p>
          <w:p w:rsidR="003A16D7" w:rsidRPr="003A16D7" w:rsidRDefault="003A16D7" w:rsidP="003A16D7">
            <w:pPr>
              <w:rPr>
                <w:rFonts w:cstheme="minorHAnsi"/>
                <w:sz w:val="16"/>
                <w:szCs w:val="16"/>
              </w:rPr>
            </w:pPr>
          </w:p>
          <w:p w:rsidR="003A16D7" w:rsidRPr="003A16D7" w:rsidRDefault="003A16D7" w:rsidP="003A16D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A16D7">
              <w:rPr>
                <w:rFonts w:cstheme="minorHAnsi"/>
                <w:b/>
                <w:sz w:val="20"/>
                <w:szCs w:val="20"/>
                <w:u w:val="single"/>
              </w:rPr>
              <w:t>Mental Health issues:</w:t>
            </w:r>
          </w:p>
          <w:p w:rsidR="003A16D7" w:rsidRDefault="003A16D7" w:rsidP="003A16D7">
            <w:pPr>
              <w:rPr>
                <w:rFonts w:cstheme="minorHAnsi"/>
                <w:sz w:val="20"/>
                <w:szCs w:val="20"/>
              </w:rPr>
            </w:pPr>
            <w:r w:rsidRPr="003A16D7">
              <w:rPr>
                <w:rFonts w:cstheme="minorHAnsi"/>
                <w:sz w:val="20"/>
                <w:szCs w:val="20"/>
              </w:rPr>
              <w:t>Depression, anxiety &amp; stress –</w:t>
            </w:r>
            <w:r>
              <w:rPr>
                <w:rFonts w:cstheme="minorHAnsi"/>
                <w:sz w:val="20"/>
                <w:szCs w:val="20"/>
              </w:rPr>
              <w:t xml:space="preserve"> exercis</w:t>
            </w:r>
            <w:r w:rsidRPr="003A16D7">
              <w:rPr>
                <w:rFonts w:cstheme="minorHAnsi"/>
                <w:sz w:val="20"/>
                <w:szCs w:val="20"/>
              </w:rPr>
              <w:t>e can help relieve stress &amp; produces endorphins hormones that promote a sense of wellbeing</w:t>
            </w:r>
          </w:p>
          <w:p w:rsidR="003A16D7" w:rsidRPr="003A16D7" w:rsidRDefault="003A16D7" w:rsidP="003A16D7">
            <w:pPr>
              <w:rPr>
                <w:rFonts w:cstheme="minorHAnsi"/>
                <w:sz w:val="16"/>
                <w:szCs w:val="16"/>
              </w:rPr>
            </w:pPr>
          </w:p>
          <w:p w:rsidR="003A16D7" w:rsidRPr="003A16D7" w:rsidRDefault="003A16D7" w:rsidP="003A16D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A16D7">
              <w:rPr>
                <w:rFonts w:cstheme="minorHAnsi"/>
                <w:b/>
                <w:sz w:val="20"/>
                <w:szCs w:val="20"/>
                <w:u w:val="single"/>
              </w:rPr>
              <w:t>Osteoporosis:</w:t>
            </w:r>
          </w:p>
          <w:p w:rsidR="003A16D7" w:rsidRPr="003A16D7" w:rsidRDefault="003A16D7" w:rsidP="003A16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Weight bearing exercise helps strengthen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musculo</w:t>
            </w:r>
            <w:proofErr w:type="spellEnd"/>
            <w:r>
              <w:rPr>
                <w:rFonts w:cstheme="minorHAnsi"/>
                <w:sz w:val="20"/>
                <w:szCs w:val="20"/>
              </w:rPr>
              <w:t>-skeletal system &amp; helps reduce risk of osteoporosis</w:t>
            </w:r>
          </w:p>
        </w:tc>
      </w:tr>
      <w:tr w:rsidR="00D029B8" w:rsidTr="00F566C1">
        <w:trPr>
          <w:cantSplit/>
          <w:trHeight w:val="1134"/>
        </w:trPr>
        <w:tc>
          <w:tcPr>
            <w:tcW w:w="316" w:type="pct"/>
            <w:textDirection w:val="btLr"/>
          </w:tcPr>
          <w:p w:rsidR="00D029B8" w:rsidRPr="00D029B8" w:rsidRDefault="00D029B8" w:rsidP="00D029B8">
            <w:pPr>
              <w:ind w:left="113" w:right="113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331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330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390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632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</w:tr>
      <w:tr w:rsidR="00F566C1" w:rsidTr="00F566C1">
        <w:trPr>
          <w:cantSplit/>
          <w:trHeight w:val="1134"/>
        </w:trPr>
        <w:tc>
          <w:tcPr>
            <w:tcW w:w="316" w:type="pct"/>
            <w:textDirection w:val="btLr"/>
          </w:tcPr>
          <w:p w:rsidR="00D029B8" w:rsidRPr="00D029B8" w:rsidRDefault="00D029B8" w:rsidP="00D029B8">
            <w:pPr>
              <w:ind w:left="113" w:right="113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3.</w:t>
            </w:r>
          </w:p>
        </w:tc>
        <w:tc>
          <w:tcPr>
            <w:tcW w:w="331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330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390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632" w:type="pct"/>
          </w:tcPr>
          <w:p w:rsidR="00D029B8" w:rsidRDefault="00D029B8" w:rsidP="002401A0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</w:tr>
    </w:tbl>
    <w:p w:rsidR="00BD7B63" w:rsidRDefault="00BD7B63" w:rsidP="000D51DF">
      <w:pPr>
        <w:rPr>
          <w:rFonts w:cstheme="minorHAnsi"/>
        </w:rPr>
      </w:pPr>
    </w:p>
    <w:p w:rsidR="00BD7B63" w:rsidRPr="000D51DF" w:rsidRDefault="00BD7B63" w:rsidP="000D51DF">
      <w:pPr>
        <w:rPr>
          <w:rFonts w:cstheme="minorHAnsi"/>
        </w:rPr>
      </w:pPr>
    </w:p>
    <w:p w:rsidR="00DB56BE" w:rsidRPr="000D51DF" w:rsidRDefault="00BD7B63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D4E60FF" wp14:editId="42EC0455">
                <wp:extent cx="3971925" cy="5467350"/>
                <wp:effectExtent l="0" t="0" r="0" b="0"/>
                <wp:docPr id="4" name="il_fi" descr="http://www.kidsfabrics.com/images/swatches/C4725-P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192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l_fi" o:spid="_x0000_s1026" alt="Description: http://www.kidsfabrics.com/images/swatches/C4725-PNK.gif" style="width:312.75pt;height:4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B56BE" w:rsidRPr="000D51DF" w:rsidSect="000D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LTStd-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017"/>
    <w:multiLevelType w:val="hybridMultilevel"/>
    <w:tmpl w:val="72582D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D267C"/>
    <w:multiLevelType w:val="hybridMultilevel"/>
    <w:tmpl w:val="5D829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D3152"/>
    <w:multiLevelType w:val="hybridMultilevel"/>
    <w:tmpl w:val="47B0A334"/>
    <w:lvl w:ilvl="0" w:tplc="0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FD5216"/>
    <w:multiLevelType w:val="hybridMultilevel"/>
    <w:tmpl w:val="336AF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11F5"/>
    <w:multiLevelType w:val="hybridMultilevel"/>
    <w:tmpl w:val="C06A1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2102"/>
    <w:multiLevelType w:val="hybridMultilevel"/>
    <w:tmpl w:val="38B254F6"/>
    <w:lvl w:ilvl="0" w:tplc="DD5A49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7B52544"/>
    <w:multiLevelType w:val="hybridMultilevel"/>
    <w:tmpl w:val="4DBA5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537B"/>
    <w:multiLevelType w:val="hybridMultilevel"/>
    <w:tmpl w:val="6BD8B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DF"/>
    <w:rsid w:val="000D51DF"/>
    <w:rsid w:val="002401A0"/>
    <w:rsid w:val="00291CB7"/>
    <w:rsid w:val="002E6849"/>
    <w:rsid w:val="00323547"/>
    <w:rsid w:val="00370DBD"/>
    <w:rsid w:val="003A16D7"/>
    <w:rsid w:val="00741D86"/>
    <w:rsid w:val="007B1791"/>
    <w:rsid w:val="007D7084"/>
    <w:rsid w:val="009C4333"/>
    <w:rsid w:val="00B51F9E"/>
    <w:rsid w:val="00B8459F"/>
    <w:rsid w:val="00BD60FC"/>
    <w:rsid w:val="00BD7B63"/>
    <w:rsid w:val="00BF1048"/>
    <w:rsid w:val="00C42616"/>
    <w:rsid w:val="00C67776"/>
    <w:rsid w:val="00CB2613"/>
    <w:rsid w:val="00D029B8"/>
    <w:rsid w:val="00DB56BE"/>
    <w:rsid w:val="00E5166E"/>
    <w:rsid w:val="00F566C1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1DF"/>
    <w:pPr>
      <w:ind w:left="720"/>
      <w:contextualSpacing/>
    </w:pPr>
  </w:style>
  <w:style w:type="table" w:styleId="TableGrid">
    <w:name w:val="Table Grid"/>
    <w:basedOn w:val="TableNormal"/>
    <w:uiPriority w:val="59"/>
    <w:rsid w:val="003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4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1DF"/>
    <w:pPr>
      <w:ind w:left="720"/>
      <w:contextualSpacing/>
    </w:pPr>
  </w:style>
  <w:style w:type="table" w:styleId="TableGrid">
    <w:name w:val="Table Grid"/>
    <w:basedOn w:val="TableNormal"/>
    <w:uiPriority w:val="59"/>
    <w:rsid w:val="003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4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australia.org/vic/community-program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althyactive.gov.au/" TargetMode="External"/><Relationship Id="rId12" Type="http://schemas.openxmlformats.org/officeDocument/2006/relationships/hyperlink" Target="http://www.vichealth.vic.gov.au/Programs-and-Projects/Physical-Activity/Physical-activity-program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www.health.gov.au/internet/main/publishing.nsf/content/phd-nutrition-childrens-survey" TargetMode="External"/><Relationship Id="rId11" Type="http://schemas.openxmlformats.org/officeDocument/2006/relationships/hyperlink" Target="http://www.vichealth.vic.gov.au/en/Programs-and-Projects/Healthy-Eating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heartfoundation.org.au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tritionaustralia.org/vic/schools-program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Wilson</dc:creator>
  <cp:lastModifiedBy>Andrew Beaumont</cp:lastModifiedBy>
  <cp:revision>2</cp:revision>
  <dcterms:created xsi:type="dcterms:W3CDTF">2012-05-28T00:26:00Z</dcterms:created>
  <dcterms:modified xsi:type="dcterms:W3CDTF">2012-05-28T00:26:00Z</dcterms:modified>
</cp:coreProperties>
</file>