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E5" w:rsidRPr="00CC4DC8" w:rsidRDefault="00365EE5" w:rsidP="00437649">
      <w:pPr>
        <w:autoSpaceDE w:val="0"/>
        <w:autoSpaceDN w:val="0"/>
        <w:adjustRightInd w:val="0"/>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365EE5" w:rsidRPr="00CC4DC8" w:rsidTr="003B233D">
        <w:trPr>
          <w:trHeight w:val="660"/>
        </w:trPr>
        <w:tc>
          <w:tcPr>
            <w:tcW w:w="4928" w:type="dxa"/>
            <w:shd w:val="pct12" w:color="auto" w:fill="auto"/>
          </w:tcPr>
          <w:p w:rsidR="00365EE5" w:rsidRPr="00CC4DC8" w:rsidRDefault="00365EE5" w:rsidP="00357CC1">
            <w:pPr>
              <w:tabs>
                <w:tab w:val="left" w:pos="504"/>
                <w:tab w:val="left" w:pos="720"/>
                <w:tab w:val="left" w:pos="936"/>
              </w:tabs>
              <w:jc w:val="center"/>
              <w:rPr>
                <w:rFonts w:asciiTheme="minorHAnsi" w:hAnsiTheme="minorHAnsi" w:cstheme="minorHAnsi"/>
                <w:b/>
                <w:sz w:val="22"/>
              </w:rPr>
            </w:pPr>
          </w:p>
          <w:p w:rsidR="00365EE5" w:rsidRPr="00CC4DC8" w:rsidRDefault="00CC4DC8" w:rsidP="00357CC1">
            <w:pPr>
              <w:pStyle w:val="BodyText"/>
              <w:jc w:val="center"/>
              <w:rPr>
                <w:rFonts w:asciiTheme="minorHAnsi" w:hAnsiTheme="minorHAnsi" w:cstheme="minorHAnsi"/>
              </w:rPr>
            </w:pPr>
            <w:r w:rsidRPr="00CC4DC8">
              <w:rPr>
                <w:rFonts w:asciiTheme="minorHAnsi" w:hAnsiTheme="minorHAnsi" w:cstheme="minorHAnsi"/>
              </w:rPr>
              <w:t>Key term</w:t>
            </w:r>
          </w:p>
          <w:p w:rsidR="00365EE5" w:rsidRPr="00CC4DC8" w:rsidRDefault="00365EE5" w:rsidP="00357CC1">
            <w:pPr>
              <w:tabs>
                <w:tab w:val="left" w:pos="504"/>
                <w:tab w:val="left" w:pos="720"/>
                <w:tab w:val="left" w:pos="936"/>
              </w:tabs>
              <w:jc w:val="center"/>
              <w:rPr>
                <w:rFonts w:asciiTheme="minorHAnsi" w:hAnsiTheme="minorHAnsi" w:cstheme="minorHAnsi"/>
                <w:b/>
                <w:sz w:val="22"/>
              </w:rPr>
            </w:pPr>
          </w:p>
        </w:tc>
        <w:tc>
          <w:tcPr>
            <w:tcW w:w="5245" w:type="dxa"/>
            <w:shd w:val="pct12" w:color="auto" w:fill="auto"/>
          </w:tcPr>
          <w:p w:rsidR="00365EE5" w:rsidRPr="00CC4DC8" w:rsidRDefault="00365EE5" w:rsidP="00357CC1">
            <w:pPr>
              <w:tabs>
                <w:tab w:val="left" w:pos="504"/>
                <w:tab w:val="left" w:pos="720"/>
                <w:tab w:val="left" w:pos="936"/>
              </w:tabs>
              <w:jc w:val="center"/>
              <w:rPr>
                <w:rFonts w:asciiTheme="minorHAnsi" w:hAnsiTheme="minorHAnsi" w:cstheme="minorHAnsi"/>
                <w:b/>
                <w:sz w:val="22"/>
              </w:rPr>
            </w:pPr>
          </w:p>
          <w:p w:rsidR="00365EE5" w:rsidRPr="00CC4DC8" w:rsidRDefault="00365EE5" w:rsidP="00357CC1">
            <w:pPr>
              <w:tabs>
                <w:tab w:val="left" w:pos="504"/>
                <w:tab w:val="left" w:pos="720"/>
                <w:tab w:val="left" w:pos="936"/>
              </w:tabs>
              <w:jc w:val="center"/>
              <w:rPr>
                <w:rFonts w:asciiTheme="minorHAnsi" w:hAnsiTheme="minorHAnsi" w:cstheme="minorHAnsi"/>
                <w:b/>
                <w:sz w:val="22"/>
              </w:rPr>
            </w:pPr>
            <w:r w:rsidRPr="00CC4DC8">
              <w:rPr>
                <w:rFonts w:asciiTheme="minorHAnsi" w:hAnsiTheme="minorHAnsi" w:cstheme="minorHAnsi"/>
                <w:b/>
                <w:sz w:val="22"/>
              </w:rPr>
              <w:t>Explanation / definition</w:t>
            </w:r>
          </w:p>
          <w:p w:rsidR="00365EE5" w:rsidRPr="00CC4DC8" w:rsidRDefault="00365EE5" w:rsidP="00357CC1">
            <w:pPr>
              <w:tabs>
                <w:tab w:val="left" w:pos="504"/>
                <w:tab w:val="left" w:pos="720"/>
                <w:tab w:val="left" w:pos="936"/>
              </w:tabs>
              <w:ind w:right="1007"/>
              <w:jc w:val="center"/>
              <w:rPr>
                <w:rFonts w:asciiTheme="minorHAnsi" w:hAnsiTheme="minorHAnsi" w:cstheme="minorHAnsi"/>
                <w:b/>
                <w:sz w:val="22"/>
              </w:rPr>
            </w:pPr>
          </w:p>
        </w:tc>
      </w:tr>
      <w:tr w:rsidR="00365EE5" w:rsidRPr="00CC4DC8" w:rsidTr="003B233D">
        <w:trPr>
          <w:trHeight w:val="480"/>
        </w:trPr>
        <w:tc>
          <w:tcPr>
            <w:tcW w:w="4928" w:type="dxa"/>
          </w:tcPr>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Burden of Disease</w:t>
            </w: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tc>
        <w:tc>
          <w:tcPr>
            <w:tcW w:w="5245" w:type="dxa"/>
          </w:tcPr>
          <w:p w:rsidR="00365EE5" w:rsidRPr="00CC4DC8" w:rsidRDefault="00365EE5" w:rsidP="00437649">
            <w:pPr>
              <w:tabs>
                <w:tab w:val="left" w:pos="504"/>
                <w:tab w:val="left" w:pos="720"/>
                <w:tab w:val="left" w:pos="936"/>
              </w:tabs>
              <w:rPr>
                <w:rFonts w:asciiTheme="minorHAnsi" w:hAnsiTheme="minorHAnsi" w:cstheme="minorHAnsi"/>
                <w:sz w:val="22"/>
                <w:szCs w:val="20"/>
              </w:rPr>
            </w:pPr>
          </w:p>
          <w:p w:rsidR="00365EE5" w:rsidRPr="00CC4DC8" w:rsidRDefault="00365EE5" w:rsidP="00437649">
            <w:pPr>
              <w:autoSpaceDE w:val="0"/>
              <w:autoSpaceDN w:val="0"/>
              <w:adjustRightInd w:val="0"/>
              <w:rPr>
                <w:rFonts w:asciiTheme="minorHAnsi" w:hAnsiTheme="minorHAnsi" w:cstheme="minorHAnsi"/>
                <w:sz w:val="22"/>
                <w:szCs w:val="20"/>
              </w:rPr>
            </w:pPr>
            <w:r w:rsidRPr="00CC4DC8">
              <w:rPr>
                <w:rFonts w:asciiTheme="minorHAnsi" w:hAnsiTheme="minorHAnsi" w:cstheme="minorHAnsi"/>
                <w:bCs w:val="0"/>
                <w:color w:val="auto"/>
                <w:sz w:val="28"/>
                <w:szCs w:val="17"/>
                <w:lang w:eastAsia="en-AU"/>
              </w:rPr>
              <w:t>A measure of the impact of diseases and injuries, specifically it measures the gap between current health status and an ideal situation where everyone lives to an old age free of disease and disability. Burden of disease is measured in a unit called the DALY.</w:t>
            </w:r>
          </w:p>
        </w:tc>
      </w:tr>
      <w:tr w:rsidR="00F86841" w:rsidRPr="00CC4DC8" w:rsidTr="003B233D">
        <w:trPr>
          <w:trHeight w:val="480"/>
        </w:trPr>
        <w:tc>
          <w:tcPr>
            <w:tcW w:w="4928" w:type="dxa"/>
          </w:tcPr>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F86841" w:rsidRDefault="00CC4DC8" w:rsidP="00437649">
            <w:pPr>
              <w:tabs>
                <w:tab w:val="left" w:pos="504"/>
                <w:tab w:val="left" w:pos="720"/>
                <w:tab w:val="left" w:pos="936"/>
              </w:tabs>
              <w:jc w:val="center"/>
              <w:rPr>
                <w:rFonts w:asciiTheme="minorHAnsi" w:hAnsiTheme="minorHAnsi" w:cstheme="minorHAnsi"/>
                <w:sz w:val="36"/>
                <w:szCs w:val="20"/>
              </w:rPr>
            </w:pPr>
            <w:r>
              <w:rPr>
                <w:rFonts w:asciiTheme="minorHAnsi" w:hAnsiTheme="minorHAnsi" w:cstheme="minorHAnsi"/>
                <w:sz w:val="36"/>
                <w:szCs w:val="20"/>
              </w:rPr>
              <w:br/>
            </w:r>
            <w:r w:rsidR="00F86841" w:rsidRPr="00CC4DC8">
              <w:rPr>
                <w:rFonts w:asciiTheme="minorHAnsi" w:hAnsiTheme="minorHAnsi" w:cstheme="minorHAnsi"/>
                <w:sz w:val="36"/>
                <w:szCs w:val="20"/>
              </w:rPr>
              <w:t>Health</w:t>
            </w: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Pr>
          <w:p w:rsidR="00CC4DC8" w:rsidRDefault="00CC4DC8" w:rsidP="00437649">
            <w:pPr>
              <w:autoSpaceDE w:val="0"/>
              <w:autoSpaceDN w:val="0"/>
              <w:adjustRightInd w:val="0"/>
              <w:rPr>
                <w:rFonts w:asciiTheme="minorHAnsi" w:eastAsiaTheme="minorHAnsi" w:hAnsiTheme="minorHAnsi" w:cstheme="minorHAnsi"/>
                <w:bCs w:val="0"/>
                <w:color w:val="auto"/>
                <w:sz w:val="36"/>
                <w:szCs w:val="36"/>
              </w:rPr>
            </w:pPr>
          </w:p>
          <w:p w:rsidR="00CC4DC8" w:rsidRDefault="00F86841" w:rsidP="00437649">
            <w:pPr>
              <w:autoSpaceDE w:val="0"/>
              <w:autoSpaceDN w:val="0"/>
              <w:adjustRightInd w:val="0"/>
              <w:rPr>
                <w:rFonts w:asciiTheme="minorHAnsi" w:eastAsiaTheme="minorHAnsi" w:hAnsiTheme="minorHAnsi" w:cstheme="minorHAnsi"/>
                <w:bCs w:val="0"/>
                <w:color w:val="auto"/>
                <w:sz w:val="36"/>
                <w:szCs w:val="36"/>
              </w:rPr>
            </w:pPr>
            <w:r w:rsidRPr="00CC4DC8">
              <w:rPr>
                <w:rFonts w:asciiTheme="minorHAnsi" w:eastAsiaTheme="minorHAnsi" w:hAnsiTheme="minorHAnsi" w:cstheme="minorHAnsi"/>
                <w:bCs w:val="0"/>
                <w:color w:val="auto"/>
                <w:sz w:val="36"/>
                <w:szCs w:val="36"/>
              </w:rPr>
              <w:t xml:space="preserve">‘A complete state of physical, social and mental </w:t>
            </w:r>
            <w:proofErr w:type="gramStart"/>
            <w:r w:rsidRPr="00CC4DC8">
              <w:rPr>
                <w:rFonts w:asciiTheme="minorHAnsi" w:eastAsiaTheme="minorHAnsi" w:hAnsiTheme="minorHAnsi" w:cstheme="minorHAnsi"/>
                <w:bCs w:val="0"/>
                <w:color w:val="auto"/>
                <w:sz w:val="36"/>
                <w:szCs w:val="36"/>
              </w:rPr>
              <w:t>wellbeing,</w:t>
            </w:r>
            <w:proofErr w:type="gramEnd"/>
            <w:r w:rsidR="00CC4DC8" w:rsidRPr="00CC4DC8">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and not merely the absence of disease or infirmity.’ (WHO,</w:t>
            </w:r>
            <w:r w:rsidR="00CC4DC8" w:rsidRPr="00CC4DC8">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1946)</w:t>
            </w:r>
          </w:p>
          <w:p w:rsidR="00CC4DC8" w:rsidRPr="00CC4DC8" w:rsidRDefault="00CC4DC8" w:rsidP="00437649">
            <w:pPr>
              <w:autoSpaceDE w:val="0"/>
              <w:autoSpaceDN w:val="0"/>
              <w:adjustRightInd w:val="0"/>
              <w:rPr>
                <w:rFonts w:asciiTheme="minorHAnsi" w:hAnsiTheme="minorHAnsi" w:cstheme="minorHAnsi"/>
                <w:sz w:val="36"/>
                <w:szCs w:val="36"/>
              </w:rPr>
            </w:pPr>
          </w:p>
        </w:tc>
      </w:tr>
      <w:tr w:rsidR="00F86841" w:rsidRPr="00CC4DC8" w:rsidTr="003B233D">
        <w:trPr>
          <w:trHeight w:val="480"/>
        </w:trPr>
        <w:tc>
          <w:tcPr>
            <w:tcW w:w="4928" w:type="dxa"/>
          </w:tcPr>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F86841" w:rsidRDefault="00F86841"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Health Status</w:t>
            </w: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Pr>
          <w:p w:rsidR="00CC4DC8" w:rsidRDefault="00CC4DC8" w:rsidP="00437649">
            <w:pPr>
              <w:autoSpaceDE w:val="0"/>
              <w:autoSpaceDN w:val="0"/>
              <w:adjustRightInd w:val="0"/>
              <w:rPr>
                <w:rFonts w:asciiTheme="minorHAnsi" w:eastAsiaTheme="minorHAnsi" w:hAnsiTheme="minorHAnsi" w:cstheme="minorHAnsi"/>
                <w:bCs w:val="0"/>
                <w:color w:val="auto"/>
                <w:sz w:val="32"/>
                <w:szCs w:val="36"/>
              </w:rPr>
            </w:pPr>
          </w:p>
          <w:p w:rsidR="00F86841" w:rsidRPr="00CC4DC8" w:rsidRDefault="00F86841" w:rsidP="00437649">
            <w:pPr>
              <w:autoSpaceDE w:val="0"/>
              <w:autoSpaceDN w:val="0"/>
              <w:adjustRightInd w:val="0"/>
              <w:rPr>
                <w:rFonts w:asciiTheme="minorHAnsi" w:hAnsiTheme="minorHAnsi" w:cstheme="minorHAnsi"/>
                <w:sz w:val="36"/>
                <w:szCs w:val="36"/>
              </w:rPr>
            </w:pPr>
            <w:r w:rsidRPr="00CC4DC8">
              <w:rPr>
                <w:rFonts w:asciiTheme="minorHAnsi" w:eastAsiaTheme="minorHAnsi" w:hAnsiTheme="minorHAnsi" w:cstheme="minorHAnsi"/>
                <w:bCs w:val="0"/>
                <w:color w:val="auto"/>
                <w:sz w:val="32"/>
                <w:szCs w:val="36"/>
              </w:rPr>
              <w:t>‘An individual’s or a population’s overall health, taking into</w:t>
            </w:r>
            <w:r w:rsidR="00CC4DC8" w:rsidRPr="00CC4DC8">
              <w:rPr>
                <w:rFonts w:asciiTheme="minorHAnsi" w:eastAsiaTheme="minorHAnsi" w:hAnsiTheme="minorHAnsi" w:cstheme="minorHAnsi"/>
                <w:bCs w:val="0"/>
                <w:color w:val="auto"/>
                <w:sz w:val="32"/>
                <w:szCs w:val="36"/>
              </w:rPr>
              <w:t xml:space="preserve"> </w:t>
            </w:r>
            <w:r w:rsidRPr="00CC4DC8">
              <w:rPr>
                <w:rFonts w:asciiTheme="minorHAnsi" w:eastAsiaTheme="minorHAnsi" w:hAnsiTheme="minorHAnsi" w:cstheme="minorHAnsi"/>
                <w:bCs w:val="0"/>
                <w:color w:val="auto"/>
                <w:sz w:val="32"/>
                <w:szCs w:val="36"/>
              </w:rPr>
              <w:t>account various aspects such as life expectancy, amount</w:t>
            </w:r>
            <w:r w:rsidR="00CC4DC8" w:rsidRPr="00CC4DC8">
              <w:rPr>
                <w:rFonts w:asciiTheme="minorHAnsi" w:eastAsiaTheme="minorHAnsi" w:hAnsiTheme="minorHAnsi" w:cstheme="minorHAnsi"/>
                <w:bCs w:val="0"/>
                <w:color w:val="auto"/>
                <w:sz w:val="32"/>
                <w:szCs w:val="36"/>
              </w:rPr>
              <w:t xml:space="preserve"> </w:t>
            </w:r>
            <w:r w:rsidRPr="00CC4DC8">
              <w:rPr>
                <w:rFonts w:asciiTheme="minorHAnsi" w:eastAsiaTheme="minorHAnsi" w:hAnsiTheme="minorHAnsi" w:cstheme="minorHAnsi"/>
                <w:bCs w:val="0"/>
                <w:color w:val="auto"/>
                <w:sz w:val="32"/>
                <w:szCs w:val="36"/>
              </w:rPr>
              <w:t>of disability and levels of disease risk factors.’ (AIHW,</w:t>
            </w:r>
            <w:r w:rsidR="00CC4DC8" w:rsidRPr="00CC4DC8">
              <w:rPr>
                <w:rFonts w:asciiTheme="minorHAnsi" w:eastAsiaTheme="minorHAnsi" w:hAnsiTheme="minorHAnsi" w:cstheme="minorHAnsi"/>
                <w:bCs w:val="0"/>
                <w:color w:val="auto"/>
                <w:sz w:val="32"/>
                <w:szCs w:val="36"/>
              </w:rPr>
              <w:t xml:space="preserve"> </w:t>
            </w:r>
            <w:r w:rsidRPr="00CC4DC8">
              <w:rPr>
                <w:rFonts w:asciiTheme="minorHAnsi" w:eastAsiaTheme="minorHAnsi" w:hAnsiTheme="minorHAnsi" w:cstheme="minorHAnsi"/>
                <w:bCs w:val="0"/>
                <w:color w:val="auto"/>
                <w:sz w:val="32"/>
                <w:szCs w:val="36"/>
              </w:rPr>
              <w:t>2008)</w:t>
            </w:r>
          </w:p>
        </w:tc>
      </w:tr>
      <w:tr w:rsidR="00365EE5" w:rsidRPr="00CC4DC8" w:rsidTr="003B233D">
        <w:trPr>
          <w:trHeight w:val="480"/>
        </w:trPr>
        <w:tc>
          <w:tcPr>
            <w:tcW w:w="4928" w:type="dxa"/>
          </w:tcPr>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Health Adjusted Life Expectancy (HALE’s)</w:t>
            </w: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p w:rsidR="00365EE5" w:rsidRPr="00CC4DC8" w:rsidRDefault="00365EE5" w:rsidP="00437649">
            <w:pPr>
              <w:tabs>
                <w:tab w:val="left" w:pos="504"/>
                <w:tab w:val="left" w:pos="720"/>
                <w:tab w:val="left" w:pos="936"/>
              </w:tabs>
              <w:jc w:val="center"/>
              <w:rPr>
                <w:rFonts w:asciiTheme="minorHAnsi" w:hAnsiTheme="minorHAnsi" w:cstheme="minorHAnsi"/>
                <w:sz w:val="36"/>
                <w:szCs w:val="20"/>
              </w:rPr>
            </w:pPr>
          </w:p>
        </w:tc>
        <w:tc>
          <w:tcPr>
            <w:tcW w:w="5245" w:type="dxa"/>
          </w:tcPr>
          <w:p w:rsidR="00365EE5" w:rsidRPr="00CC4DC8" w:rsidRDefault="00365EE5" w:rsidP="00437649">
            <w:pPr>
              <w:tabs>
                <w:tab w:val="left" w:pos="504"/>
                <w:tab w:val="left" w:pos="720"/>
                <w:tab w:val="left" w:pos="936"/>
              </w:tabs>
              <w:rPr>
                <w:rFonts w:asciiTheme="minorHAnsi" w:hAnsiTheme="minorHAnsi" w:cstheme="minorHAnsi"/>
                <w:sz w:val="22"/>
                <w:szCs w:val="20"/>
              </w:rPr>
            </w:pPr>
          </w:p>
          <w:p w:rsidR="00365EE5" w:rsidRPr="00CC4DC8" w:rsidRDefault="00365EE5" w:rsidP="00437649">
            <w:pPr>
              <w:autoSpaceDE w:val="0"/>
              <w:autoSpaceDN w:val="0"/>
              <w:adjustRightInd w:val="0"/>
              <w:rPr>
                <w:rFonts w:asciiTheme="minorHAnsi" w:hAnsiTheme="minorHAnsi" w:cstheme="minorHAnsi"/>
                <w:sz w:val="22"/>
                <w:szCs w:val="20"/>
              </w:rPr>
            </w:pPr>
            <w:r w:rsidRPr="00CC4DC8">
              <w:rPr>
                <w:rFonts w:asciiTheme="minorHAnsi" w:hAnsiTheme="minorHAnsi" w:cstheme="minorHAnsi"/>
                <w:bCs w:val="0"/>
                <w:color w:val="auto"/>
                <w:sz w:val="28"/>
                <w:szCs w:val="17"/>
                <w:lang w:eastAsia="en-AU"/>
              </w:rPr>
              <w:t>A measure of burden of disease based on life expectancy at birth, but including an adjustment for time spent in poor health. It is the number of years in full health that a person can expect to live, based on current rates of ill health and mortality.</w:t>
            </w:r>
          </w:p>
        </w:tc>
      </w:tr>
    </w:tbl>
    <w:p w:rsidR="00365EE5" w:rsidRPr="00CC4DC8" w:rsidRDefault="00365EE5" w:rsidP="00437649">
      <w:pPr>
        <w:autoSpaceDE w:val="0"/>
        <w:autoSpaceDN w:val="0"/>
        <w:adjustRightInd w:val="0"/>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CC4DC8" w:rsidRPr="00CC4DC8" w:rsidTr="003B233D">
        <w:trPr>
          <w:trHeight w:val="480"/>
        </w:trPr>
        <w:tc>
          <w:tcPr>
            <w:tcW w:w="4928" w:type="dxa"/>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Disability Adjusted Life Years (DALYs)</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Pr>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autoSpaceDE w:val="0"/>
              <w:autoSpaceDN w:val="0"/>
              <w:adjustRightInd w:val="0"/>
              <w:rPr>
                <w:rFonts w:asciiTheme="minorHAnsi" w:hAnsiTheme="minorHAnsi" w:cstheme="minorHAnsi"/>
                <w:sz w:val="22"/>
                <w:szCs w:val="20"/>
              </w:rPr>
            </w:pPr>
            <w:r w:rsidRPr="00CC4DC8">
              <w:rPr>
                <w:rFonts w:asciiTheme="minorHAnsi" w:hAnsiTheme="minorHAnsi" w:cstheme="minorHAnsi"/>
                <w:bCs w:val="0"/>
                <w:color w:val="auto"/>
                <w:sz w:val="36"/>
                <w:szCs w:val="17"/>
                <w:lang w:eastAsia="en-AU"/>
              </w:rPr>
              <w:t>A measure of burden of disease, one DALY equals one year of healthy life lost due to premature death and time lived with illness, disease or injury.</w:t>
            </w:r>
            <w:bookmarkStart w:id="0" w:name="_GoBack"/>
            <w:bookmarkEnd w:id="0"/>
          </w:p>
        </w:tc>
      </w:tr>
      <w:tr w:rsidR="00CC4DC8" w:rsidRPr="00CC4DC8" w:rsidTr="003B233D">
        <w:trPr>
          <w:trHeight w:val="480"/>
        </w:trPr>
        <w:tc>
          <w:tcPr>
            <w:tcW w:w="4928" w:type="dxa"/>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Life expectancy</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Pr>
          <w:p w:rsidR="00CC4DC8" w:rsidRPr="00CC4DC8" w:rsidRDefault="00CC4DC8" w:rsidP="00437649">
            <w:pPr>
              <w:tabs>
                <w:tab w:val="left" w:pos="504"/>
                <w:tab w:val="left" w:pos="720"/>
                <w:tab w:val="left" w:pos="936"/>
              </w:tabs>
              <w:rPr>
                <w:rFonts w:asciiTheme="minorHAnsi" w:hAnsiTheme="minorHAnsi" w:cstheme="minorHAnsi"/>
                <w:sz w:val="40"/>
                <w:szCs w:val="20"/>
              </w:rPr>
            </w:pPr>
          </w:p>
          <w:p w:rsidR="00CC4DC8" w:rsidRPr="00CC4DC8" w:rsidRDefault="00CC4DC8" w:rsidP="00437649">
            <w:pPr>
              <w:autoSpaceDE w:val="0"/>
              <w:autoSpaceDN w:val="0"/>
              <w:adjustRightInd w:val="0"/>
              <w:rPr>
                <w:rFonts w:asciiTheme="minorHAnsi" w:hAnsiTheme="minorHAnsi" w:cstheme="minorHAnsi"/>
                <w:sz w:val="22"/>
                <w:szCs w:val="20"/>
              </w:rPr>
            </w:pPr>
            <w:r w:rsidRPr="00CC4DC8">
              <w:rPr>
                <w:rFonts w:asciiTheme="minorHAnsi" w:hAnsiTheme="minorHAnsi" w:cstheme="minorHAnsi"/>
                <w:bCs w:val="0"/>
                <w:color w:val="auto"/>
                <w:sz w:val="31"/>
                <w:szCs w:val="17"/>
                <w:lang w:eastAsia="en-AU"/>
              </w:rPr>
              <w:t>‘An indication of how long a person can expect live, it is the number of years of life remaining to a person at a particular age if death rates do not change.’</w:t>
            </w:r>
          </w:p>
        </w:tc>
      </w:tr>
      <w:tr w:rsidR="00CC4DC8" w:rsidRPr="00CC4DC8" w:rsidTr="003B233D">
        <w:trPr>
          <w:trHeight w:val="480"/>
        </w:trPr>
        <w:tc>
          <w:tcPr>
            <w:tcW w:w="4928" w:type="dxa"/>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Under 5 mortality rate</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3671"/>
              </w:tabs>
              <w:jc w:val="center"/>
              <w:rPr>
                <w:rFonts w:asciiTheme="minorHAnsi" w:hAnsiTheme="minorHAnsi" w:cstheme="minorHAnsi"/>
                <w:sz w:val="36"/>
                <w:szCs w:val="20"/>
              </w:rPr>
            </w:pPr>
          </w:p>
        </w:tc>
        <w:tc>
          <w:tcPr>
            <w:tcW w:w="5245" w:type="dxa"/>
          </w:tcPr>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tabs>
                <w:tab w:val="left" w:pos="504"/>
                <w:tab w:val="left" w:pos="720"/>
                <w:tab w:val="left" w:pos="936"/>
              </w:tabs>
              <w:rPr>
                <w:rFonts w:asciiTheme="minorHAnsi" w:hAnsiTheme="minorHAnsi" w:cstheme="minorHAnsi"/>
                <w:sz w:val="36"/>
                <w:szCs w:val="20"/>
              </w:rPr>
            </w:pPr>
            <w:r w:rsidRPr="00CC4DC8">
              <w:rPr>
                <w:rFonts w:asciiTheme="minorHAnsi" w:hAnsiTheme="minorHAnsi" w:cstheme="minorHAnsi"/>
                <w:sz w:val="36"/>
                <w:szCs w:val="20"/>
              </w:rPr>
              <w:t>The rate of deaths occurring in children under 5 years of age per 1000 live births.</w:t>
            </w:r>
          </w:p>
          <w:p w:rsidR="00CC4DC8" w:rsidRPr="00CC4DC8" w:rsidRDefault="00CC4DC8" w:rsidP="00437649">
            <w:pPr>
              <w:tabs>
                <w:tab w:val="left" w:pos="504"/>
                <w:tab w:val="left" w:pos="720"/>
                <w:tab w:val="left" w:pos="936"/>
              </w:tabs>
              <w:rPr>
                <w:rFonts w:asciiTheme="minorHAnsi" w:hAnsiTheme="minorHAnsi" w:cstheme="minorHAnsi"/>
                <w:sz w:val="22"/>
                <w:szCs w:val="20"/>
              </w:rPr>
            </w:pPr>
          </w:p>
        </w:tc>
      </w:tr>
      <w:tr w:rsidR="00CC4DC8" w:rsidRPr="00CC4DC8" w:rsidTr="003B233D">
        <w:trPr>
          <w:trHeight w:val="460"/>
        </w:trPr>
        <w:tc>
          <w:tcPr>
            <w:tcW w:w="4928" w:type="dxa"/>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Mortality</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Pr>
          <w:p w:rsidR="00CC4DC8" w:rsidRPr="00CC4DC8" w:rsidRDefault="00CC4DC8" w:rsidP="00437649">
            <w:pPr>
              <w:tabs>
                <w:tab w:val="left" w:pos="504"/>
                <w:tab w:val="left" w:pos="720"/>
                <w:tab w:val="left" w:pos="936"/>
              </w:tabs>
              <w:rPr>
                <w:rFonts w:asciiTheme="minorHAnsi" w:hAnsiTheme="minorHAnsi" w:cstheme="minorHAnsi"/>
                <w:sz w:val="48"/>
                <w:szCs w:val="20"/>
              </w:rPr>
            </w:pPr>
          </w:p>
          <w:p w:rsidR="00CC4DC8" w:rsidRPr="00CC4DC8" w:rsidRDefault="00CC4DC8" w:rsidP="00437649">
            <w:pPr>
              <w:tabs>
                <w:tab w:val="left" w:pos="504"/>
                <w:tab w:val="left" w:pos="720"/>
                <w:tab w:val="left" w:pos="936"/>
              </w:tabs>
              <w:rPr>
                <w:rFonts w:asciiTheme="minorHAnsi" w:hAnsiTheme="minorHAnsi" w:cstheme="minorHAnsi"/>
                <w:sz w:val="22"/>
                <w:szCs w:val="20"/>
              </w:rPr>
            </w:pPr>
            <w:r w:rsidRPr="00CC4DC8">
              <w:rPr>
                <w:rFonts w:asciiTheme="minorHAnsi" w:hAnsiTheme="minorHAnsi" w:cstheme="minorHAnsi"/>
                <w:sz w:val="48"/>
                <w:szCs w:val="20"/>
              </w:rPr>
              <w:t>Deaths in a population</w:t>
            </w:r>
          </w:p>
        </w:tc>
      </w:tr>
    </w:tbl>
    <w:p w:rsidR="00365EE5" w:rsidRPr="00CC4DC8" w:rsidRDefault="00365EE5" w:rsidP="00437649">
      <w:pPr>
        <w:autoSpaceDE w:val="0"/>
        <w:autoSpaceDN w:val="0"/>
        <w:adjustRightInd w:val="0"/>
        <w:rPr>
          <w:rFonts w:asciiTheme="minorHAnsi" w:hAnsiTheme="minorHAnsi" w:cstheme="minorHAnsi"/>
        </w:rPr>
      </w:pPr>
    </w:p>
    <w:p w:rsidR="00365EE5" w:rsidRPr="00CC4DC8" w:rsidRDefault="00365EE5" w:rsidP="00437649">
      <w:pPr>
        <w:autoSpaceDE w:val="0"/>
        <w:autoSpaceDN w:val="0"/>
        <w:adjustRightInd w:val="0"/>
        <w:rPr>
          <w:rFonts w:asciiTheme="minorHAnsi" w:hAnsiTheme="minorHAnsi" w:cstheme="minorHAnsi"/>
        </w:rPr>
      </w:pPr>
    </w:p>
    <w:p w:rsidR="00365EE5" w:rsidRPr="00CC4DC8" w:rsidRDefault="00365EE5" w:rsidP="00437649">
      <w:pPr>
        <w:autoSpaceDE w:val="0"/>
        <w:autoSpaceDN w:val="0"/>
        <w:adjustRightInd w:val="0"/>
        <w:rPr>
          <w:rFonts w:asciiTheme="minorHAnsi" w:hAnsiTheme="minorHAnsi" w:cstheme="minorHAnsi"/>
        </w:rPr>
      </w:pPr>
    </w:p>
    <w:p w:rsidR="00365EE5" w:rsidRPr="00CC4DC8" w:rsidRDefault="00365EE5" w:rsidP="00437649">
      <w:pPr>
        <w:autoSpaceDE w:val="0"/>
        <w:autoSpaceDN w:val="0"/>
        <w:adjustRightInd w:val="0"/>
        <w:rPr>
          <w:rFonts w:asciiTheme="minorHAnsi" w:hAnsiTheme="minorHAnsi" w:cstheme="minorHAnsi"/>
        </w:rPr>
      </w:pPr>
    </w:p>
    <w:p w:rsidR="00365EE5" w:rsidRPr="00CC4DC8" w:rsidRDefault="00365EE5" w:rsidP="00437649">
      <w:pPr>
        <w:autoSpaceDE w:val="0"/>
        <w:autoSpaceDN w:val="0"/>
        <w:adjustRightInd w:val="0"/>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Morbidity</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autoSpaceDE w:val="0"/>
              <w:autoSpaceDN w:val="0"/>
              <w:adjustRightInd w:val="0"/>
              <w:rPr>
                <w:rFonts w:asciiTheme="minorHAnsi" w:hAnsiTheme="minorHAnsi" w:cstheme="minorHAnsi"/>
                <w:sz w:val="22"/>
                <w:szCs w:val="20"/>
              </w:rPr>
            </w:pPr>
            <w:r w:rsidRPr="00CC4DC8">
              <w:rPr>
                <w:rFonts w:asciiTheme="minorHAnsi" w:hAnsiTheme="minorHAnsi" w:cstheme="minorHAnsi"/>
                <w:bCs w:val="0"/>
                <w:color w:val="auto"/>
                <w:sz w:val="40"/>
                <w:szCs w:val="17"/>
                <w:lang w:eastAsia="en-AU"/>
              </w:rPr>
              <w:t>Refers to ill-health in an individual and the levels of ill-health in a population or group.</w:t>
            </w: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r w:rsidRPr="00CC4DC8">
              <w:rPr>
                <w:rFonts w:asciiTheme="minorHAnsi" w:hAnsiTheme="minorHAnsi" w:cstheme="minorHAnsi"/>
                <w:sz w:val="36"/>
                <w:szCs w:val="20"/>
              </w:rPr>
              <w:t>Incidence</w:t>
            </w: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20"/>
              </w:rPr>
            </w:pPr>
          </w:p>
        </w:tc>
        <w:tc>
          <w:tcPr>
            <w:tcW w:w="5245"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tabs>
                <w:tab w:val="left" w:pos="504"/>
                <w:tab w:val="left" w:pos="720"/>
                <w:tab w:val="left" w:pos="936"/>
              </w:tabs>
              <w:rPr>
                <w:rFonts w:asciiTheme="minorHAnsi" w:hAnsiTheme="minorHAnsi" w:cstheme="minorHAnsi"/>
                <w:sz w:val="22"/>
                <w:szCs w:val="20"/>
              </w:rPr>
            </w:pPr>
          </w:p>
          <w:p w:rsidR="00CC4DC8" w:rsidRPr="00CC4DC8" w:rsidRDefault="00CC4DC8" w:rsidP="00437649">
            <w:pPr>
              <w:tabs>
                <w:tab w:val="left" w:pos="504"/>
                <w:tab w:val="left" w:pos="720"/>
                <w:tab w:val="left" w:pos="936"/>
              </w:tabs>
              <w:rPr>
                <w:rFonts w:asciiTheme="minorHAnsi" w:hAnsiTheme="minorHAnsi" w:cstheme="minorHAnsi"/>
                <w:sz w:val="40"/>
                <w:szCs w:val="20"/>
              </w:rPr>
            </w:pPr>
            <w:r w:rsidRPr="00CC4DC8">
              <w:rPr>
                <w:rFonts w:asciiTheme="minorHAnsi" w:hAnsiTheme="minorHAnsi" w:cstheme="minorHAnsi"/>
                <w:sz w:val="40"/>
                <w:szCs w:val="20"/>
              </w:rPr>
              <w:t xml:space="preserve">The number of </w:t>
            </w:r>
            <w:r w:rsidRPr="00CC4DC8">
              <w:rPr>
                <w:rFonts w:asciiTheme="minorHAnsi" w:hAnsiTheme="minorHAnsi" w:cstheme="minorHAnsi"/>
                <w:b/>
                <w:sz w:val="40"/>
                <w:szCs w:val="20"/>
              </w:rPr>
              <w:t>new</w:t>
            </w:r>
            <w:r w:rsidRPr="00CC4DC8">
              <w:rPr>
                <w:rFonts w:asciiTheme="minorHAnsi" w:hAnsiTheme="minorHAnsi" w:cstheme="minorHAnsi"/>
                <w:sz w:val="40"/>
                <w:szCs w:val="20"/>
              </w:rPr>
              <w:t xml:space="preserve"> cases of a condition during a given period of time.</w:t>
            </w:r>
          </w:p>
          <w:p w:rsidR="00CC4DC8" w:rsidRPr="00CC4DC8" w:rsidRDefault="00CC4DC8" w:rsidP="00437649">
            <w:pPr>
              <w:tabs>
                <w:tab w:val="left" w:pos="504"/>
                <w:tab w:val="left" w:pos="720"/>
                <w:tab w:val="left" w:pos="936"/>
              </w:tabs>
              <w:rPr>
                <w:rFonts w:asciiTheme="minorHAnsi" w:hAnsiTheme="minorHAnsi" w:cstheme="minorHAnsi"/>
                <w:sz w:val="22"/>
                <w:szCs w:val="20"/>
              </w:rPr>
            </w:pP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Prevalence</w:t>
            </w: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tabs>
                <w:tab w:val="left" w:pos="504"/>
                <w:tab w:val="left" w:pos="720"/>
                <w:tab w:val="left" w:pos="936"/>
              </w:tabs>
              <w:rPr>
                <w:rFonts w:asciiTheme="minorHAnsi" w:hAnsiTheme="minorHAnsi" w:cstheme="minorHAnsi"/>
                <w:sz w:val="36"/>
                <w:szCs w:val="36"/>
              </w:rPr>
            </w:pPr>
          </w:p>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r w:rsidRPr="00CC4DC8">
              <w:rPr>
                <w:rFonts w:asciiTheme="minorHAnsi" w:eastAsiaTheme="minorHAnsi" w:hAnsiTheme="minorHAnsi" w:cstheme="minorHAnsi"/>
                <w:bCs w:val="0"/>
                <w:color w:val="auto"/>
                <w:sz w:val="36"/>
                <w:szCs w:val="36"/>
              </w:rPr>
              <w:t>‘The number or proportion of cases of a particular disease</w:t>
            </w:r>
          </w:p>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proofErr w:type="gramStart"/>
            <w:r w:rsidRPr="00CC4DC8">
              <w:rPr>
                <w:rFonts w:asciiTheme="minorHAnsi" w:eastAsiaTheme="minorHAnsi" w:hAnsiTheme="minorHAnsi" w:cstheme="minorHAnsi"/>
                <w:bCs w:val="0"/>
                <w:color w:val="auto"/>
                <w:sz w:val="36"/>
                <w:szCs w:val="36"/>
              </w:rPr>
              <w:t>or</w:t>
            </w:r>
            <w:proofErr w:type="gramEnd"/>
            <w:r w:rsidRPr="00CC4DC8">
              <w:rPr>
                <w:rFonts w:asciiTheme="minorHAnsi" w:eastAsiaTheme="minorHAnsi" w:hAnsiTheme="minorHAnsi" w:cstheme="minorHAnsi"/>
                <w:bCs w:val="0"/>
                <w:color w:val="auto"/>
                <w:sz w:val="36"/>
                <w:szCs w:val="36"/>
              </w:rPr>
              <w:t xml:space="preserve"> condition present in a population at a given time.’</w:t>
            </w:r>
          </w:p>
          <w:p w:rsidR="00CC4DC8" w:rsidRPr="00CC4DC8" w:rsidRDefault="00CC4DC8" w:rsidP="00437649">
            <w:pPr>
              <w:tabs>
                <w:tab w:val="left" w:pos="504"/>
                <w:tab w:val="left" w:pos="720"/>
                <w:tab w:val="left" w:pos="936"/>
              </w:tabs>
              <w:rPr>
                <w:rFonts w:asciiTheme="minorHAnsi" w:hAnsiTheme="minorHAnsi" w:cstheme="minorHAnsi"/>
                <w:sz w:val="36"/>
                <w:szCs w:val="36"/>
              </w:rPr>
            </w:pPr>
            <w:r w:rsidRPr="00CC4DC8">
              <w:rPr>
                <w:rFonts w:asciiTheme="minorHAnsi" w:eastAsiaTheme="minorHAnsi" w:hAnsiTheme="minorHAnsi" w:cstheme="minorHAnsi"/>
                <w:bCs w:val="0"/>
                <w:color w:val="auto"/>
                <w:sz w:val="36"/>
                <w:szCs w:val="36"/>
              </w:rPr>
              <w:t>(AIHW, 2008)</w:t>
            </w: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Social dimension of health</w:t>
            </w:r>
          </w:p>
          <w:p w:rsid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p>
          <w:p w:rsidR="00CC4DC8" w:rsidRPr="00CC4DC8" w:rsidRDefault="00CC4DC8"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CC4DC8" w:rsidRDefault="00CC4DC8" w:rsidP="00437649">
            <w:pPr>
              <w:autoSpaceDE w:val="0"/>
              <w:autoSpaceDN w:val="0"/>
              <w:adjustRightInd w:val="0"/>
              <w:rPr>
                <w:rFonts w:asciiTheme="minorHAnsi" w:eastAsiaTheme="minorHAnsi" w:hAnsiTheme="minorHAnsi" w:cstheme="minorHAnsi"/>
                <w:bCs w:val="0"/>
                <w:color w:val="auto"/>
                <w:sz w:val="36"/>
                <w:szCs w:val="36"/>
              </w:rPr>
            </w:pPr>
          </w:p>
          <w:p w:rsidR="00CC4DC8" w:rsidRPr="00CC4DC8" w:rsidRDefault="00CC4DC8" w:rsidP="00437649">
            <w:pPr>
              <w:autoSpaceDE w:val="0"/>
              <w:autoSpaceDN w:val="0"/>
              <w:adjustRightInd w:val="0"/>
              <w:rPr>
                <w:rFonts w:asciiTheme="minorHAnsi" w:hAnsiTheme="minorHAnsi" w:cstheme="minorHAnsi"/>
                <w:sz w:val="36"/>
                <w:szCs w:val="36"/>
              </w:rPr>
            </w:pPr>
            <w:r w:rsidRPr="00CC4DC8">
              <w:rPr>
                <w:rFonts w:asciiTheme="minorHAnsi" w:eastAsiaTheme="minorHAnsi" w:hAnsiTheme="minorHAnsi" w:cstheme="minorHAnsi"/>
                <w:bCs w:val="0"/>
                <w:color w:val="auto"/>
                <w:sz w:val="36"/>
                <w:szCs w:val="36"/>
              </w:rPr>
              <w:t>Being able to interact with others and participate in the</w:t>
            </w:r>
            <w:r>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community in both an independent and cooperative way.</w:t>
            </w:r>
          </w:p>
        </w:tc>
      </w:tr>
    </w:tbl>
    <w:p w:rsidR="00DE20C4" w:rsidRDefault="00DE20C4" w:rsidP="00437649">
      <w:pPr>
        <w:rPr>
          <w:rFonts w:asciiTheme="minorHAnsi" w:hAnsiTheme="minorHAnsi" w:cstheme="minorHAnsi"/>
        </w:rPr>
      </w:pPr>
    </w:p>
    <w:p w:rsidR="00CC4DC8" w:rsidRDefault="00CC4DC8" w:rsidP="00437649">
      <w:pPr>
        <w:rPr>
          <w:rFonts w:asciiTheme="minorHAnsi" w:hAnsiTheme="minorHAnsi" w:cstheme="minorHAnsi"/>
        </w:rPr>
      </w:pPr>
    </w:p>
    <w:p w:rsidR="00CC4DC8" w:rsidRDefault="00CC4DC8" w:rsidP="00437649">
      <w:pPr>
        <w:rPr>
          <w:rFonts w:asciiTheme="minorHAnsi" w:hAnsiTheme="minorHAnsi" w:cstheme="minorHAnsi"/>
        </w:rPr>
      </w:pPr>
    </w:p>
    <w:p w:rsidR="00CC4DC8" w:rsidRDefault="00CC4DC8" w:rsidP="00437649">
      <w:pPr>
        <w:rPr>
          <w:rFonts w:asciiTheme="minorHAnsi" w:hAnsiTheme="minorHAnsi" w:cstheme="minorHAnsi"/>
        </w:rPr>
      </w:pPr>
    </w:p>
    <w:p w:rsidR="00CC4DC8" w:rsidRDefault="00CC4DC8" w:rsidP="00437649">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Mental dimension of health</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28"/>
                <w:szCs w:val="36"/>
              </w:rPr>
            </w:pPr>
          </w:p>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r w:rsidRPr="00F52BB7">
              <w:rPr>
                <w:rFonts w:asciiTheme="minorHAnsi" w:eastAsiaTheme="minorHAnsi" w:hAnsiTheme="minorHAnsi" w:cstheme="minorHAnsi"/>
                <w:bCs w:val="0"/>
                <w:color w:val="auto"/>
                <w:sz w:val="28"/>
                <w:szCs w:val="36"/>
              </w:rPr>
              <w:t>‘State of well-being in which the individual realises his or</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her own abilities, can cope with the normal stresses of life,</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can work productively and fruitfully, and is able to make a</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contribution to his or her community.’ (WHO, 2009)</w:t>
            </w: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Physical dimension of health</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36"/>
                <w:szCs w:val="36"/>
              </w:rPr>
            </w:pPr>
          </w:p>
          <w:p w:rsidR="00CC4DC8" w:rsidRPr="00CC4DC8" w:rsidRDefault="00CC4DC8" w:rsidP="00437649">
            <w:pPr>
              <w:autoSpaceDE w:val="0"/>
              <w:autoSpaceDN w:val="0"/>
              <w:adjustRightInd w:val="0"/>
              <w:rPr>
                <w:rFonts w:asciiTheme="minorHAnsi" w:hAnsiTheme="minorHAnsi" w:cstheme="minorHAnsi"/>
                <w:sz w:val="36"/>
                <w:szCs w:val="36"/>
              </w:rPr>
            </w:pPr>
            <w:r w:rsidRPr="00CC4DC8">
              <w:rPr>
                <w:rFonts w:asciiTheme="minorHAnsi" w:eastAsiaTheme="minorHAnsi" w:hAnsiTheme="minorHAnsi" w:cstheme="minorHAnsi"/>
                <w:bCs w:val="0"/>
                <w:color w:val="auto"/>
                <w:sz w:val="36"/>
                <w:szCs w:val="36"/>
              </w:rPr>
              <w:t>Relates to the efficient functioning of the body and its</w:t>
            </w:r>
            <w:r w:rsidR="00F52BB7">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systems, and includes the physical capacity to perform</w:t>
            </w:r>
            <w:r w:rsidR="00F52BB7">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tasks and physical fitness.</w:t>
            </w: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Determinants of health</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r w:rsidRPr="00F52BB7">
              <w:rPr>
                <w:rFonts w:asciiTheme="minorHAnsi" w:eastAsiaTheme="minorHAnsi" w:hAnsiTheme="minorHAnsi" w:cstheme="minorHAnsi"/>
                <w:bCs w:val="0"/>
                <w:color w:val="auto"/>
                <w:sz w:val="28"/>
                <w:szCs w:val="36"/>
              </w:rPr>
              <w:t>‘Factors that raise or lower a level of health in a population</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or individual. Determinants of health help to explain</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or predict trends in health and why some groups have</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better or worse health than others.’ Determinants can be</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classified in many ways such as biological, behavioural</w:t>
            </w:r>
            <w:r w:rsidR="00F52BB7">
              <w:rPr>
                <w:rFonts w:asciiTheme="minorHAnsi" w:eastAsiaTheme="minorHAnsi" w:hAnsiTheme="minorHAnsi" w:cstheme="minorHAnsi"/>
                <w:bCs w:val="0"/>
                <w:color w:val="auto"/>
                <w:sz w:val="28"/>
                <w:szCs w:val="36"/>
              </w:rPr>
              <w:t xml:space="preserve"> </w:t>
            </w:r>
            <w:r w:rsidRPr="00F52BB7">
              <w:rPr>
                <w:rFonts w:asciiTheme="minorHAnsi" w:eastAsiaTheme="minorHAnsi" w:hAnsiTheme="minorHAnsi" w:cstheme="minorHAnsi"/>
                <w:bCs w:val="0"/>
                <w:color w:val="auto"/>
                <w:sz w:val="28"/>
                <w:szCs w:val="36"/>
              </w:rPr>
              <w:t>and social. (AIHW, 2006).</w:t>
            </w:r>
          </w:p>
        </w:tc>
      </w:tr>
      <w:tr w:rsidR="00CC4DC8"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CC4DC8" w:rsidRDefault="00CC4DC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Biological determinants</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36"/>
                <w:szCs w:val="36"/>
              </w:rPr>
            </w:pPr>
          </w:p>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r w:rsidRPr="00CC4DC8">
              <w:rPr>
                <w:rFonts w:asciiTheme="minorHAnsi" w:eastAsiaTheme="minorHAnsi" w:hAnsiTheme="minorHAnsi" w:cstheme="minorHAnsi"/>
                <w:bCs w:val="0"/>
                <w:color w:val="auto"/>
                <w:sz w:val="36"/>
                <w:szCs w:val="36"/>
              </w:rPr>
              <w:t>Factors relating to the body that impact on health, such</w:t>
            </w:r>
          </w:p>
          <w:p w:rsidR="00CC4DC8" w:rsidRPr="00CC4DC8" w:rsidRDefault="00CC4DC8" w:rsidP="00437649">
            <w:pPr>
              <w:autoSpaceDE w:val="0"/>
              <w:autoSpaceDN w:val="0"/>
              <w:adjustRightInd w:val="0"/>
              <w:rPr>
                <w:rFonts w:asciiTheme="minorHAnsi" w:eastAsiaTheme="minorHAnsi" w:hAnsiTheme="minorHAnsi" w:cstheme="minorHAnsi"/>
                <w:bCs w:val="0"/>
                <w:color w:val="auto"/>
                <w:sz w:val="36"/>
                <w:szCs w:val="36"/>
              </w:rPr>
            </w:pPr>
            <w:proofErr w:type="gramStart"/>
            <w:r w:rsidRPr="00CC4DC8">
              <w:rPr>
                <w:rFonts w:asciiTheme="minorHAnsi" w:eastAsiaTheme="minorHAnsi" w:hAnsiTheme="minorHAnsi" w:cstheme="minorHAnsi"/>
                <w:bCs w:val="0"/>
                <w:color w:val="auto"/>
                <w:sz w:val="36"/>
                <w:szCs w:val="36"/>
              </w:rPr>
              <w:t>as</w:t>
            </w:r>
            <w:proofErr w:type="gramEnd"/>
            <w:r w:rsidRPr="00CC4DC8">
              <w:rPr>
                <w:rFonts w:asciiTheme="minorHAnsi" w:eastAsiaTheme="minorHAnsi" w:hAnsiTheme="minorHAnsi" w:cstheme="minorHAnsi"/>
                <w:bCs w:val="0"/>
                <w:color w:val="auto"/>
                <w:sz w:val="36"/>
                <w:szCs w:val="36"/>
              </w:rPr>
              <w:t xml:space="preserve"> genetics, hormones, body weight, blood pressure,</w:t>
            </w:r>
            <w:r w:rsidR="00F52BB7">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cholesterol levels, birth weight.</w:t>
            </w:r>
          </w:p>
        </w:tc>
      </w:tr>
    </w:tbl>
    <w:p w:rsidR="00CC4DC8" w:rsidRPr="00CC4DC8" w:rsidRDefault="00CC4DC8" w:rsidP="00437649">
      <w:pPr>
        <w:rPr>
          <w:rFonts w:asciiTheme="minorHAnsi" w:hAnsiTheme="minorHAnsi" w:cstheme="minorHAnsi"/>
        </w:rPr>
      </w:pPr>
    </w:p>
    <w:p w:rsidR="00CC4DC8" w:rsidRDefault="00CC4DC8" w:rsidP="00437649">
      <w:pPr>
        <w:rPr>
          <w:rFonts w:asciiTheme="minorHAnsi" w:hAnsiTheme="minorHAnsi" w:cstheme="minorHAnsi"/>
        </w:rPr>
      </w:pPr>
    </w:p>
    <w:p w:rsidR="00F52BB7" w:rsidRDefault="00F52BB7" w:rsidP="00437649">
      <w:pPr>
        <w:rPr>
          <w:rFonts w:asciiTheme="minorHAnsi" w:hAnsiTheme="minorHAnsi" w:cstheme="minorHAnsi"/>
        </w:rPr>
      </w:pPr>
    </w:p>
    <w:p w:rsidR="00F52BB7" w:rsidRDefault="00F52BB7" w:rsidP="00437649">
      <w:pPr>
        <w:rPr>
          <w:rFonts w:asciiTheme="minorHAnsi" w:hAnsiTheme="minorHAnsi" w:cstheme="minorHAnsi"/>
        </w:rPr>
      </w:pPr>
    </w:p>
    <w:p w:rsidR="00F52BB7" w:rsidRDefault="00F52BB7" w:rsidP="00437649">
      <w:pPr>
        <w:rPr>
          <w:rFonts w:asciiTheme="minorHAnsi" w:hAnsiTheme="minorHAnsi" w:cstheme="minorHAnsi"/>
        </w:rPr>
      </w:pPr>
    </w:p>
    <w:p w:rsidR="00F52BB7" w:rsidRDefault="00F52BB7" w:rsidP="00437649">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F52BB7"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Behavioural determinants</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36"/>
                <w:szCs w:val="36"/>
              </w:rPr>
            </w:pPr>
          </w:p>
          <w:p w:rsidR="00F52BB7" w:rsidRPr="00CC4DC8" w:rsidRDefault="00F52BB7" w:rsidP="00437649">
            <w:pPr>
              <w:autoSpaceDE w:val="0"/>
              <w:autoSpaceDN w:val="0"/>
              <w:adjustRightInd w:val="0"/>
              <w:rPr>
                <w:rFonts w:asciiTheme="minorHAnsi" w:eastAsiaTheme="minorHAnsi" w:hAnsiTheme="minorHAnsi" w:cstheme="minorHAnsi"/>
                <w:bCs w:val="0"/>
                <w:color w:val="auto"/>
                <w:sz w:val="36"/>
                <w:szCs w:val="36"/>
              </w:rPr>
            </w:pPr>
            <w:r w:rsidRPr="00CC4DC8">
              <w:rPr>
                <w:rFonts w:asciiTheme="minorHAnsi" w:eastAsiaTheme="minorHAnsi" w:hAnsiTheme="minorHAnsi" w:cstheme="minorHAnsi"/>
                <w:bCs w:val="0"/>
                <w:color w:val="auto"/>
                <w:sz w:val="36"/>
                <w:szCs w:val="36"/>
              </w:rPr>
              <w:t>Actions or patterns of living of an individual or a group</w:t>
            </w:r>
            <w:r>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that impact on health, such as smoking, sexual activity,</w:t>
            </w:r>
            <w:r>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participation in physical activity, eating practices.</w:t>
            </w:r>
          </w:p>
        </w:tc>
      </w:tr>
      <w:tr w:rsidR="00F52BB7"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Social determinants</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36"/>
                <w:szCs w:val="36"/>
              </w:rPr>
            </w:pPr>
          </w:p>
          <w:p w:rsidR="00F52BB7" w:rsidRPr="00CC4DC8" w:rsidRDefault="00F52BB7" w:rsidP="00437649">
            <w:pPr>
              <w:autoSpaceDE w:val="0"/>
              <w:autoSpaceDN w:val="0"/>
              <w:adjustRightInd w:val="0"/>
              <w:rPr>
                <w:rFonts w:asciiTheme="minorHAnsi" w:hAnsiTheme="minorHAnsi" w:cstheme="minorHAnsi"/>
                <w:sz w:val="36"/>
                <w:szCs w:val="36"/>
              </w:rPr>
            </w:pPr>
            <w:r w:rsidRPr="00CC4DC8">
              <w:rPr>
                <w:rFonts w:asciiTheme="minorHAnsi" w:eastAsiaTheme="minorHAnsi" w:hAnsiTheme="minorHAnsi" w:cstheme="minorHAnsi"/>
                <w:bCs w:val="0"/>
                <w:color w:val="auto"/>
                <w:sz w:val="36"/>
                <w:szCs w:val="36"/>
              </w:rPr>
              <w:t>Aspects of society and the social environment that impact</w:t>
            </w:r>
            <w:r>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on health, such as poverty, early life experiences, social</w:t>
            </w:r>
            <w:r>
              <w:rPr>
                <w:rFonts w:asciiTheme="minorHAnsi" w:eastAsiaTheme="minorHAnsi" w:hAnsiTheme="minorHAnsi" w:cstheme="minorHAnsi"/>
                <w:bCs w:val="0"/>
                <w:color w:val="auto"/>
                <w:sz w:val="36"/>
                <w:szCs w:val="36"/>
              </w:rPr>
              <w:t xml:space="preserve"> </w:t>
            </w:r>
            <w:r w:rsidRPr="00CC4DC8">
              <w:rPr>
                <w:rFonts w:asciiTheme="minorHAnsi" w:eastAsiaTheme="minorHAnsi" w:hAnsiTheme="minorHAnsi" w:cstheme="minorHAnsi"/>
                <w:bCs w:val="0"/>
                <w:color w:val="auto"/>
                <w:sz w:val="36"/>
                <w:szCs w:val="36"/>
              </w:rPr>
              <w:t>networks and support.</w:t>
            </w:r>
          </w:p>
        </w:tc>
      </w:tr>
      <w:tr w:rsidR="00F52BB7"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Biomedical Model of Health</w:t>
            </w: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p>
          <w:p w:rsidR="00F52BB7" w:rsidRPr="00CC4DC8" w:rsidRDefault="00F52BB7"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F52BB7" w:rsidRDefault="00F52BB7" w:rsidP="00437649">
            <w:pPr>
              <w:autoSpaceDE w:val="0"/>
              <w:autoSpaceDN w:val="0"/>
              <w:adjustRightInd w:val="0"/>
              <w:rPr>
                <w:rFonts w:asciiTheme="minorHAnsi" w:eastAsiaTheme="minorHAnsi" w:hAnsiTheme="minorHAnsi" w:cstheme="minorHAnsi"/>
                <w:bCs w:val="0"/>
                <w:color w:val="auto"/>
                <w:sz w:val="32"/>
                <w:szCs w:val="36"/>
              </w:rPr>
            </w:pPr>
          </w:p>
          <w:p w:rsidR="00F52BB7" w:rsidRPr="00CC4DC8" w:rsidRDefault="00F52BB7" w:rsidP="00437649">
            <w:pPr>
              <w:autoSpaceDE w:val="0"/>
              <w:autoSpaceDN w:val="0"/>
              <w:adjustRightInd w:val="0"/>
              <w:rPr>
                <w:rFonts w:asciiTheme="minorHAnsi" w:eastAsiaTheme="minorHAnsi" w:hAnsiTheme="minorHAnsi" w:cstheme="minorHAnsi"/>
                <w:bCs w:val="0"/>
                <w:color w:val="auto"/>
                <w:sz w:val="36"/>
                <w:szCs w:val="36"/>
              </w:rPr>
            </w:pPr>
            <w:r w:rsidRPr="00F52BB7">
              <w:rPr>
                <w:rFonts w:asciiTheme="minorHAnsi" w:eastAsiaTheme="minorHAnsi" w:hAnsiTheme="minorHAnsi" w:cstheme="minorHAnsi"/>
                <w:bCs w:val="0"/>
                <w:color w:val="auto"/>
                <w:sz w:val="32"/>
                <w:szCs w:val="36"/>
              </w:rPr>
              <w:t>Focuses on the physical or biological aspects of disease and illness. It is a medical model of care practised by doctors and/or health professional and is associated with the diagnosis, cure and treatment of disease.</w:t>
            </w:r>
          </w:p>
        </w:tc>
      </w:tr>
      <w:tr w:rsidR="00F52BB7" w:rsidRPr="00CC4DC8" w:rsidTr="003B233D">
        <w:trPr>
          <w:trHeight w:val="600"/>
        </w:trPr>
        <w:tc>
          <w:tcPr>
            <w:tcW w:w="4928" w:type="dxa"/>
            <w:tcBorders>
              <w:top w:val="single" w:sz="4" w:space="0" w:color="auto"/>
              <w:left w:val="single" w:sz="4" w:space="0" w:color="auto"/>
              <w:bottom w:val="single" w:sz="4" w:space="0" w:color="auto"/>
              <w:right w:val="single" w:sz="4" w:space="0" w:color="auto"/>
            </w:tcBorders>
          </w:tcPr>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F52BB7" w:rsidRDefault="00F52BB7"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Social Model of Health</w:t>
            </w: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Pr="00CC4DC8" w:rsidRDefault="008F7068"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8F7068" w:rsidRDefault="008F7068" w:rsidP="00437649">
            <w:pPr>
              <w:autoSpaceDE w:val="0"/>
              <w:autoSpaceDN w:val="0"/>
              <w:adjustRightInd w:val="0"/>
              <w:rPr>
                <w:rFonts w:asciiTheme="minorHAnsi" w:eastAsiaTheme="minorHAnsi" w:hAnsiTheme="minorHAnsi" w:cstheme="minorHAnsi"/>
                <w:bCs w:val="0"/>
                <w:color w:val="auto"/>
                <w:szCs w:val="36"/>
              </w:rPr>
            </w:pPr>
          </w:p>
          <w:p w:rsidR="00F52BB7" w:rsidRPr="00CC4DC8" w:rsidRDefault="00F52BB7" w:rsidP="00437649">
            <w:pPr>
              <w:autoSpaceDE w:val="0"/>
              <w:autoSpaceDN w:val="0"/>
              <w:adjustRightInd w:val="0"/>
              <w:rPr>
                <w:rFonts w:asciiTheme="minorHAnsi" w:hAnsiTheme="minorHAnsi" w:cstheme="minorHAnsi"/>
                <w:sz w:val="36"/>
                <w:szCs w:val="36"/>
              </w:rPr>
            </w:pPr>
            <w:r w:rsidRPr="008F7068">
              <w:rPr>
                <w:rFonts w:asciiTheme="minorHAnsi" w:eastAsiaTheme="minorHAnsi" w:hAnsiTheme="minorHAnsi" w:cstheme="minorHAnsi"/>
                <w:bCs w:val="0"/>
                <w:color w:val="auto"/>
                <w:szCs w:val="36"/>
              </w:rPr>
              <w:t>A conceptual framework within which improvements</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in health and wellbeing are achieved by directing</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effort towards addressing the social, economic and</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environmental determinants of health. The model is based</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on the understanding that in order for health gains to</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occur, social, economic and environmental determinants</w:t>
            </w:r>
            <w:r w:rsidR="008F7068">
              <w:rPr>
                <w:rFonts w:asciiTheme="minorHAnsi" w:eastAsiaTheme="minorHAnsi" w:hAnsiTheme="minorHAnsi" w:cstheme="minorHAnsi"/>
                <w:bCs w:val="0"/>
                <w:color w:val="auto"/>
                <w:szCs w:val="36"/>
              </w:rPr>
              <w:t xml:space="preserve"> </w:t>
            </w:r>
            <w:r w:rsidRPr="008F7068">
              <w:rPr>
                <w:rFonts w:asciiTheme="minorHAnsi" w:eastAsiaTheme="minorHAnsi" w:hAnsiTheme="minorHAnsi" w:cstheme="minorHAnsi"/>
                <w:bCs w:val="0"/>
                <w:color w:val="auto"/>
                <w:szCs w:val="36"/>
              </w:rPr>
              <w:t>must be addressed.</w:t>
            </w:r>
          </w:p>
        </w:tc>
      </w:tr>
    </w:tbl>
    <w:p w:rsidR="008F7068" w:rsidRDefault="008F7068" w:rsidP="00437649">
      <w:pPr>
        <w:rPr>
          <w:rFonts w:asciiTheme="minorHAnsi" w:hAnsiTheme="minorHAnsi" w:cstheme="minorHAnsi"/>
        </w:rPr>
      </w:pPr>
    </w:p>
    <w:p w:rsidR="008F7068" w:rsidRDefault="008F7068" w:rsidP="00437649">
      <w:pPr>
        <w:rPr>
          <w:rFonts w:asciiTheme="minorHAnsi" w:hAnsiTheme="minorHAnsi" w:cstheme="minorHAnsi"/>
        </w:rPr>
      </w:pPr>
    </w:p>
    <w:p w:rsidR="008F7068" w:rsidRDefault="008F7068" w:rsidP="00437649">
      <w:pPr>
        <w:rPr>
          <w:rFonts w:asciiTheme="minorHAnsi" w:hAnsiTheme="minorHAnsi" w:cstheme="minorHAnsi"/>
        </w:rPr>
      </w:pPr>
    </w:p>
    <w:tbl>
      <w:tblPr>
        <w:tblpPr w:leftFromText="180" w:rightFromText="180" w:horzAnchor="margin" w:tblpY="3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8F7068" w:rsidRPr="00CC4DC8" w:rsidTr="008F7068">
        <w:trPr>
          <w:trHeight w:val="600"/>
        </w:trPr>
        <w:tc>
          <w:tcPr>
            <w:tcW w:w="4928" w:type="dxa"/>
            <w:tcBorders>
              <w:top w:val="single" w:sz="4" w:space="0" w:color="auto"/>
              <w:left w:val="single" w:sz="4" w:space="0" w:color="auto"/>
              <w:bottom w:val="single" w:sz="4" w:space="0" w:color="auto"/>
              <w:right w:val="single" w:sz="4" w:space="0" w:color="auto"/>
            </w:tcBorders>
          </w:tcPr>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Ottawa Charter for Health Promotion</w:t>
            </w: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Pr="00CC4DC8" w:rsidRDefault="008F7068"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8F7068" w:rsidRDefault="008F7068" w:rsidP="00437649">
            <w:pPr>
              <w:autoSpaceDE w:val="0"/>
              <w:autoSpaceDN w:val="0"/>
              <w:adjustRightInd w:val="0"/>
              <w:rPr>
                <w:rFonts w:asciiTheme="minorHAnsi" w:eastAsiaTheme="minorHAnsi" w:hAnsiTheme="minorHAnsi" w:cstheme="minorHAnsi"/>
                <w:bCs w:val="0"/>
                <w:color w:val="auto"/>
                <w:sz w:val="22"/>
                <w:szCs w:val="36"/>
              </w:rPr>
            </w:pPr>
          </w:p>
          <w:p w:rsidR="008F7068" w:rsidRPr="008F7068" w:rsidRDefault="008F7068" w:rsidP="00437649">
            <w:pPr>
              <w:autoSpaceDE w:val="0"/>
              <w:autoSpaceDN w:val="0"/>
              <w:adjustRightInd w:val="0"/>
              <w:rPr>
                <w:rFonts w:asciiTheme="minorHAnsi" w:hAnsiTheme="minorHAnsi" w:cstheme="minorHAnsi"/>
                <w:sz w:val="22"/>
                <w:szCs w:val="36"/>
              </w:rPr>
            </w:pPr>
            <w:r w:rsidRPr="008F7068">
              <w:rPr>
                <w:rFonts w:asciiTheme="minorHAnsi" w:eastAsiaTheme="minorHAnsi" w:hAnsiTheme="minorHAnsi" w:cstheme="minorHAnsi"/>
                <w:bCs w:val="0"/>
                <w:color w:val="auto"/>
                <w:sz w:val="22"/>
                <w:szCs w:val="36"/>
              </w:rPr>
              <w:t>An approach to health development by the World Health Organization which attempts to reduce inequalities in health. The Ottawa Charter for Health Promotion was developed from the social model of health and defines health promotion as ‘the process of enabling people to increase control over, and to improve, their health’ (WHO 1998). The Ottawa Charter identifies three basic strategies for health promotion which are enabling, mediating, and advocacy.</w:t>
            </w:r>
          </w:p>
        </w:tc>
      </w:tr>
      <w:tr w:rsidR="00437649" w:rsidRPr="00CC4DC8" w:rsidTr="008F7068">
        <w:trPr>
          <w:trHeight w:val="600"/>
        </w:trPr>
        <w:tc>
          <w:tcPr>
            <w:tcW w:w="4928" w:type="dxa"/>
            <w:tcBorders>
              <w:top w:val="single" w:sz="4" w:space="0" w:color="auto"/>
              <w:left w:val="single" w:sz="4" w:space="0" w:color="auto"/>
              <w:bottom w:val="single" w:sz="4" w:space="0" w:color="auto"/>
              <w:right w:val="single" w:sz="4" w:space="0" w:color="auto"/>
            </w:tcBorders>
          </w:tcPr>
          <w:p w:rsidR="00437649" w:rsidRDefault="00437649" w:rsidP="00437649">
            <w:pPr>
              <w:tabs>
                <w:tab w:val="left" w:pos="504"/>
                <w:tab w:val="left" w:pos="720"/>
                <w:tab w:val="left" w:pos="936"/>
              </w:tabs>
              <w:jc w:val="center"/>
              <w:rPr>
                <w:rFonts w:asciiTheme="minorHAnsi" w:hAnsiTheme="minorHAnsi" w:cstheme="minorHAnsi"/>
                <w:sz w:val="36"/>
                <w:szCs w:val="36"/>
              </w:rPr>
            </w:pPr>
          </w:p>
          <w:p w:rsidR="00437649" w:rsidRDefault="00437649" w:rsidP="00437649">
            <w:pPr>
              <w:tabs>
                <w:tab w:val="left" w:pos="504"/>
                <w:tab w:val="left" w:pos="720"/>
                <w:tab w:val="left" w:pos="936"/>
              </w:tabs>
              <w:jc w:val="center"/>
              <w:rPr>
                <w:rFonts w:asciiTheme="minorHAnsi" w:hAnsiTheme="minorHAnsi" w:cstheme="minorHAnsi"/>
                <w:sz w:val="36"/>
                <w:szCs w:val="36"/>
              </w:rPr>
            </w:pPr>
          </w:p>
          <w:p w:rsidR="00437649" w:rsidRDefault="00437649" w:rsidP="00437649">
            <w:pPr>
              <w:tabs>
                <w:tab w:val="left" w:pos="504"/>
                <w:tab w:val="left" w:pos="720"/>
                <w:tab w:val="left" w:pos="936"/>
              </w:tabs>
              <w:jc w:val="center"/>
              <w:rPr>
                <w:rFonts w:asciiTheme="minorHAnsi" w:hAnsiTheme="minorHAnsi" w:cstheme="minorHAnsi"/>
                <w:sz w:val="36"/>
                <w:szCs w:val="36"/>
              </w:rPr>
            </w:pPr>
          </w:p>
          <w:p w:rsidR="00437649" w:rsidRDefault="00437649" w:rsidP="00437649">
            <w:pPr>
              <w:tabs>
                <w:tab w:val="left" w:pos="504"/>
                <w:tab w:val="left" w:pos="720"/>
                <w:tab w:val="left" w:pos="936"/>
              </w:tabs>
              <w:jc w:val="center"/>
              <w:rPr>
                <w:rFonts w:asciiTheme="minorHAnsi" w:hAnsiTheme="minorHAnsi" w:cstheme="minorHAnsi"/>
                <w:sz w:val="36"/>
                <w:szCs w:val="36"/>
              </w:rPr>
            </w:pPr>
            <w:r>
              <w:rPr>
                <w:rFonts w:asciiTheme="minorHAnsi" w:hAnsiTheme="minorHAnsi" w:cstheme="minorHAnsi"/>
                <w:sz w:val="36"/>
                <w:szCs w:val="36"/>
              </w:rPr>
              <w:t>Health promotion</w:t>
            </w:r>
          </w:p>
          <w:p w:rsidR="00437649" w:rsidRDefault="00437649" w:rsidP="00437649">
            <w:pPr>
              <w:tabs>
                <w:tab w:val="left" w:pos="504"/>
                <w:tab w:val="left" w:pos="720"/>
                <w:tab w:val="left" w:pos="936"/>
              </w:tabs>
              <w:jc w:val="center"/>
              <w:rPr>
                <w:rFonts w:asciiTheme="minorHAnsi" w:hAnsiTheme="minorHAnsi" w:cstheme="minorHAnsi"/>
                <w:sz w:val="36"/>
                <w:szCs w:val="36"/>
              </w:rPr>
            </w:pPr>
          </w:p>
          <w:p w:rsidR="00437649" w:rsidRDefault="00437649" w:rsidP="00437649">
            <w:pPr>
              <w:tabs>
                <w:tab w:val="left" w:pos="504"/>
                <w:tab w:val="left" w:pos="720"/>
                <w:tab w:val="left" w:pos="936"/>
              </w:tabs>
              <w:jc w:val="center"/>
              <w:rPr>
                <w:rFonts w:asciiTheme="minorHAnsi" w:hAnsiTheme="minorHAnsi" w:cstheme="minorHAnsi"/>
                <w:sz w:val="36"/>
                <w:szCs w:val="36"/>
              </w:rPr>
            </w:pPr>
          </w:p>
          <w:p w:rsidR="00437649" w:rsidRDefault="00437649"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437649" w:rsidRDefault="00437649" w:rsidP="00437649">
            <w:pPr>
              <w:autoSpaceDE w:val="0"/>
              <w:autoSpaceDN w:val="0"/>
              <w:adjustRightInd w:val="0"/>
              <w:rPr>
                <w:rFonts w:asciiTheme="minorHAnsi" w:eastAsiaTheme="minorHAnsi" w:hAnsiTheme="minorHAnsi" w:cstheme="minorHAnsi"/>
                <w:bCs w:val="0"/>
                <w:color w:val="auto"/>
                <w:sz w:val="48"/>
                <w:szCs w:val="36"/>
              </w:rPr>
            </w:pPr>
          </w:p>
          <w:p w:rsidR="00437649" w:rsidRDefault="00437649" w:rsidP="00437649">
            <w:pPr>
              <w:autoSpaceDE w:val="0"/>
              <w:autoSpaceDN w:val="0"/>
              <w:adjustRightInd w:val="0"/>
              <w:rPr>
                <w:rFonts w:asciiTheme="minorHAnsi" w:eastAsiaTheme="minorHAnsi" w:hAnsiTheme="minorHAnsi" w:cstheme="minorHAnsi"/>
                <w:bCs w:val="0"/>
                <w:color w:val="auto"/>
                <w:sz w:val="22"/>
                <w:szCs w:val="36"/>
              </w:rPr>
            </w:pPr>
            <w:r w:rsidRPr="00437649">
              <w:rPr>
                <w:rFonts w:asciiTheme="minorHAnsi" w:eastAsiaTheme="minorHAnsi" w:hAnsiTheme="minorHAnsi" w:cstheme="minorHAnsi"/>
                <w:bCs w:val="0"/>
                <w:color w:val="auto"/>
                <w:sz w:val="40"/>
                <w:szCs w:val="36"/>
              </w:rPr>
              <w:t>The process of enabling people to increase control over, and to improve their health.</w:t>
            </w:r>
          </w:p>
        </w:tc>
      </w:tr>
      <w:tr w:rsidR="008F7068" w:rsidRPr="00CC4DC8" w:rsidTr="008F7068">
        <w:trPr>
          <w:trHeight w:val="600"/>
        </w:trPr>
        <w:tc>
          <w:tcPr>
            <w:tcW w:w="4928" w:type="dxa"/>
            <w:tcBorders>
              <w:top w:val="single" w:sz="4" w:space="0" w:color="auto"/>
              <w:left w:val="single" w:sz="4" w:space="0" w:color="auto"/>
              <w:bottom w:val="single" w:sz="4" w:space="0" w:color="auto"/>
              <w:right w:val="single" w:sz="4" w:space="0" w:color="auto"/>
            </w:tcBorders>
          </w:tcPr>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r w:rsidRPr="00CC4DC8">
              <w:rPr>
                <w:rFonts w:asciiTheme="minorHAnsi" w:hAnsiTheme="minorHAnsi" w:cstheme="minorHAnsi"/>
                <w:sz w:val="36"/>
                <w:szCs w:val="36"/>
              </w:rPr>
              <w:t>National Health Priority Areas</w:t>
            </w: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Default="008F7068" w:rsidP="00437649">
            <w:pPr>
              <w:tabs>
                <w:tab w:val="left" w:pos="504"/>
                <w:tab w:val="left" w:pos="720"/>
                <w:tab w:val="left" w:pos="936"/>
              </w:tabs>
              <w:jc w:val="center"/>
              <w:rPr>
                <w:rFonts w:asciiTheme="minorHAnsi" w:hAnsiTheme="minorHAnsi" w:cstheme="minorHAnsi"/>
                <w:sz w:val="36"/>
                <w:szCs w:val="36"/>
              </w:rPr>
            </w:pPr>
          </w:p>
          <w:p w:rsidR="008F7068" w:rsidRPr="00CC4DC8" w:rsidRDefault="008F7068" w:rsidP="00437649">
            <w:pPr>
              <w:tabs>
                <w:tab w:val="left" w:pos="504"/>
                <w:tab w:val="left" w:pos="720"/>
                <w:tab w:val="left" w:pos="936"/>
              </w:tabs>
              <w:jc w:val="center"/>
              <w:rPr>
                <w:rFonts w:asciiTheme="minorHAnsi" w:hAnsiTheme="minorHAnsi" w:cstheme="minorHAnsi"/>
                <w:sz w:val="36"/>
                <w:szCs w:val="36"/>
              </w:rPr>
            </w:pPr>
          </w:p>
        </w:tc>
        <w:tc>
          <w:tcPr>
            <w:tcW w:w="5245" w:type="dxa"/>
            <w:tcBorders>
              <w:top w:val="single" w:sz="4" w:space="0" w:color="auto"/>
              <w:left w:val="single" w:sz="4" w:space="0" w:color="auto"/>
              <w:bottom w:val="single" w:sz="4" w:space="0" w:color="auto"/>
              <w:right w:val="single" w:sz="4" w:space="0" w:color="auto"/>
            </w:tcBorders>
          </w:tcPr>
          <w:p w:rsidR="008F7068" w:rsidRPr="008F7068" w:rsidRDefault="008F7068" w:rsidP="00437649">
            <w:pPr>
              <w:autoSpaceDE w:val="0"/>
              <w:autoSpaceDN w:val="0"/>
              <w:adjustRightInd w:val="0"/>
              <w:rPr>
                <w:rFonts w:asciiTheme="minorHAnsi" w:eastAsiaTheme="minorHAnsi" w:hAnsiTheme="minorHAnsi" w:cstheme="minorHAnsi"/>
                <w:bCs w:val="0"/>
                <w:color w:val="auto"/>
                <w:sz w:val="14"/>
                <w:szCs w:val="36"/>
              </w:rPr>
            </w:pPr>
          </w:p>
          <w:p w:rsidR="008F7068" w:rsidRDefault="008F7068" w:rsidP="00437649">
            <w:pPr>
              <w:autoSpaceDE w:val="0"/>
              <w:autoSpaceDN w:val="0"/>
              <w:adjustRightInd w:val="0"/>
              <w:rPr>
                <w:rFonts w:asciiTheme="minorHAnsi" w:eastAsiaTheme="minorHAnsi" w:hAnsiTheme="minorHAnsi" w:cstheme="minorHAnsi"/>
                <w:bCs w:val="0"/>
                <w:color w:val="auto"/>
                <w:sz w:val="22"/>
                <w:szCs w:val="36"/>
              </w:rPr>
            </w:pPr>
            <w:r w:rsidRPr="008F7068">
              <w:rPr>
                <w:rFonts w:asciiTheme="minorHAnsi" w:eastAsiaTheme="minorHAnsi" w:hAnsiTheme="minorHAnsi" w:cstheme="minorHAnsi"/>
                <w:bCs w:val="0"/>
                <w:color w:val="auto"/>
                <w:szCs w:val="36"/>
              </w:rPr>
              <w:t>A collaborative initiative endorsed by the Commonwealth and all State and Territory governments. The NHPA initiative seeks to focus the health sector’s attention on diseases or conditions that have a major impact on the health of Australians. The NHPAs represent the disease groups with the largest burden of disease and potential costs (direct, indirect and intangible) to the Australian community.</w:t>
            </w:r>
          </w:p>
          <w:p w:rsidR="008F7068" w:rsidRPr="008F7068" w:rsidRDefault="008F7068" w:rsidP="00437649">
            <w:pPr>
              <w:autoSpaceDE w:val="0"/>
              <w:autoSpaceDN w:val="0"/>
              <w:adjustRightInd w:val="0"/>
              <w:rPr>
                <w:rFonts w:asciiTheme="minorHAnsi" w:hAnsiTheme="minorHAnsi" w:cstheme="minorHAnsi"/>
                <w:sz w:val="8"/>
                <w:szCs w:val="36"/>
              </w:rPr>
            </w:pPr>
          </w:p>
        </w:tc>
      </w:tr>
    </w:tbl>
    <w:p w:rsidR="008F7068" w:rsidRPr="00CC4DC8" w:rsidRDefault="008F7068" w:rsidP="00437649">
      <w:pPr>
        <w:rPr>
          <w:rFonts w:asciiTheme="minorHAnsi" w:hAnsiTheme="minorHAnsi" w:cstheme="minorHAnsi"/>
        </w:rPr>
      </w:pPr>
    </w:p>
    <w:p w:rsidR="00437649" w:rsidRPr="00CC4DC8" w:rsidRDefault="00437649">
      <w:pPr>
        <w:rPr>
          <w:rFonts w:asciiTheme="minorHAnsi" w:hAnsiTheme="minorHAnsi" w:cstheme="minorHAnsi"/>
        </w:rPr>
      </w:pPr>
    </w:p>
    <w:sectPr w:rsidR="00437649" w:rsidRPr="00CC4DC8" w:rsidSect="00365EE5">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E5"/>
    <w:rsid w:val="00357CC1"/>
    <w:rsid w:val="00365EE5"/>
    <w:rsid w:val="00437649"/>
    <w:rsid w:val="008F7068"/>
    <w:rsid w:val="00CC4DC8"/>
    <w:rsid w:val="00DE20C4"/>
    <w:rsid w:val="00DF4335"/>
    <w:rsid w:val="00F52BB7"/>
    <w:rsid w:val="00F86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5"/>
    <w:pPr>
      <w:spacing w:after="0" w:line="240" w:lineRule="auto"/>
    </w:pPr>
    <w:rPr>
      <w:rFonts w:ascii="Comic Sans MS" w:eastAsia="Times New Roman" w:hAnsi="Comic Sans MS" w:cs="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65EE5"/>
    <w:rPr>
      <w:sz w:val="16"/>
      <w:szCs w:val="16"/>
    </w:rPr>
  </w:style>
  <w:style w:type="paragraph" w:styleId="CommentText">
    <w:name w:val="annotation text"/>
    <w:basedOn w:val="Normal"/>
    <w:link w:val="CommentTextChar"/>
    <w:uiPriority w:val="99"/>
    <w:semiHidden/>
    <w:rsid w:val="00365EE5"/>
    <w:rPr>
      <w:sz w:val="20"/>
      <w:szCs w:val="20"/>
    </w:rPr>
  </w:style>
  <w:style w:type="character" w:customStyle="1" w:styleId="CommentTextChar">
    <w:name w:val="Comment Text Char"/>
    <w:basedOn w:val="DefaultParagraphFont"/>
    <w:link w:val="CommentText"/>
    <w:uiPriority w:val="99"/>
    <w:semiHidden/>
    <w:rsid w:val="00365EE5"/>
    <w:rPr>
      <w:rFonts w:ascii="Comic Sans MS" w:eastAsia="Times New Roman" w:hAnsi="Comic Sans MS" w:cs="Times New Roman"/>
      <w:bCs/>
      <w:color w:val="000000"/>
      <w:sz w:val="20"/>
      <w:szCs w:val="20"/>
    </w:rPr>
  </w:style>
  <w:style w:type="paragraph" w:styleId="BodyText">
    <w:name w:val="Body Text"/>
    <w:basedOn w:val="Normal"/>
    <w:link w:val="BodyTextChar"/>
    <w:rsid w:val="00365EE5"/>
    <w:pPr>
      <w:tabs>
        <w:tab w:val="left" w:pos="504"/>
        <w:tab w:val="left" w:pos="720"/>
        <w:tab w:val="left" w:pos="936"/>
      </w:tabs>
    </w:pPr>
    <w:rPr>
      <w:rFonts w:ascii="Arial" w:hAnsi="Arial" w:cs="Arial"/>
      <w:b/>
      <w:sz w:val="22"/>
    </w:rPr>
  </w:style>
  <w:style w:type="character" w:customStyle="1" w:styleId="BodyTextChar">
    <w:name w:val="Body Text Char"/>
    <w:basedOn w:val="DefaultParagraphFont"/>
    <w:link w:val="BodyText"/>
    <w:rsid w:val="00365EE5"/>
    <w:rPr>
      <w:rFonts w:ascii="Arial" w:eastAsia="Times New Roman" w:hAnsi="Arial" w:cs="Arial"/>
      <w:b/>
      <w:bCs/>
      <w:color w:val="000000"/>
      <w:szCs w:val="24"/>
    </w:rPr>
  </w:style>
  <w:style w:type="paragraph" w:styleId="BalloonText">
    <w:name w:val="Balloon Text"/>
    <w:basedOn w:val="Normal"/>
    <w:link w:val="BalloonTextChar"/>
    <w:uiPriority w:val="99"/>
    <w:semiHidden/>
    <w:unhideWhenUsed/>
    <w:rsid w:val="00365EE5"/>
    <w:rPr>
      <w:rFonts w:ascii="Tahoma" w:hAnsi="Tahoma" w:cs="Tahoma"/>
      <w:sz w:val="16"/>
      <w:szCs w:val="16"/>
    </w:rPr>
  </w:style>
  <w:style w:type="character" w:customStyle="1" w:styleId="BalloonTextChar">
    <w:name w:val="Balloon Text Char"/>
    <w:basedOn w:val="DefaultParagraphFont"/>
    <w:link w:val="BalloonText"/>
    <w:uiPriority w:val="99"/>
    <w:semiHidden/>
    <w:rsid w:val="00365EE5"/>
    <w:rPr>
      <w:rFonts w:ascii="Tahoma" w:eastAsia="Times New Roman"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5"/>
    <w:pPr>
      <w:spacing w:after="0" w:line="240" w:lineRule="auto"/>
    </w:pPr>
    <w:rPr>
      <w:rFonts w:ascii="Comic Sans MS" w:eastAsia="Times New Roman" w:hAnsi="Comic Sans MS" w:cs="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65EE5"/>
    <w:rPr>
      <w:sz w:val="16"/>
      <w:szCs w:val="16"/>
    </w:rPr>
  </w:style>
  <w:style w:type="paragraph" w:styleId="CommentText">
    <w:name w:val="annotation text"/>
    <w:basedOn w:val="Normal"/>
    <w:link w:val="CommentTextChar"/>
    <w:uiPriority w:val="99"/>
    <w:semiHidden/>
    <w:rsid w:val="00365EE5"/>
    <w:rPr>
      <w:sz w:val="20"/>
      <w:szCs w:val="20"/>
    </w:rPr>
  </w:style>
  <w:style w:type="character" w:customStyle="1" w:styleId="CommentTextChar">
    <w:name w:val="Comment Text Char"/>
    <w:basedOn w:val="DefaultParagraphFont"/>
    <w:link w:val="CommentText"/>
    <w:uiPriority w:val="99"/>
    <w:semiHidden/>
    <w:rsid w:val="00365EE5"/>
    <w:rPr>
      <w:rFonts w:ascii="Comic Sans MS" w:eastAsia="Times New Roman" w:hAnsi="Comic Sans MS" w:cs="Times New Roman"/>
      <w:bCs/>
      <w:color w:val="000000"/>
      <w:sz w:val="20"/>
      <w:szCs w:val="20"/>
    </w:rPr>
  </w:style>
  <w:style w:type="paragraph" w:styleId="BodyText">
    <w:name w:val="Body Text"/>
    <w:basedOn w:val="Normal"/>
    <w:link w:val="BodyTextChar"/>
    <w:rsid w:val="00365EE5"/>
    <w:pPr>
      <w:tabs>
        <w:tab w:val="left" w:pos="504"/>
        <w:tab w:val="left" w:pos="720"/>
        <w:tab w:val="left" w:pos="936"/>
      </w:tabs>
    </w:pPr>
    <w:rPr>
      <w:rFonts w:ascii="Arial" w:hAnsi="Arial" w:cs="Arial"/>
      <w:b/>
      <w:sz w:val="22"/>
    </w:rPr>
  </w:style>
  <w:style w:type="character" w:customStyle="1" w:styleId="BodyTextChar">
    <w:name w:val="Body Text Char"/>
    <w:basedOn w:val="DefaultParagraphFont"/>
    <w:link w:val="BodyText"/>
    <w:rsid w:val="00365EE5"/>
    <w:rPr>
      <w:rFonts w:ascii="Arial" w:eastAsia="Times New Roman" w:hAnsi="Arial" w:cs="Arial"/>
      <w:b/>
      <w:bCs/>
      <w:color w:val="000000"/>
      <w:szCs w:val="24"/>
    </w:rPr>
  </w:style>
  <w:style w:type="paragraph" w:styleId="BalloonText">
    <w:name w:val="Balloon Text"/>
    <w:basedOn w:val="Normal"/>
    <w:link w:val="BalloonTextChar"/>
    <w:uiPriority w:val="99"/>
    <w:semiHidden/>
    <w:unhideWhenUsed/>
    <w:rsid w:val="00365EE5"/>
    <w:rPr>
      <w:rFonts w:ascii="Tahoma" w:hAnsi="Tahoma" w:cs="Tahoma"/>
      <w:sz w:val="16"/>
      <w:szCs w:val="16"/>
    </w:rPr>
  </w:style>
  <w:style w:type="character" w:customStyle="1" w:styleId="BalloonTextChar">
    <w:name w:val="Balloon Text Char"/>
    <w:basedOn w:val="DefaultParagraphFont"/>
    <w:link w:val="BalloonText"/>
    <w:uiPriority w:val="99"/>
    <w:semiHidden/>
    <w:rsid w:val="00365EE5"/>
    <w:rPr>
      <w:rFonts w:ascii="Tahoma" w:eastAsia="Times New Roman"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00BA-E3E8-41E0-BAA7-DCD7751F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Beaumont</dc:creator>
  <cp:lastModifiedBy>Andrew Beaumont</cp:lastModifiedBy>
  <cp:revision>4</cp:revision>
  <dcterms:created xsi:type="dcterms:W3CDTF">2012-08-17T04:39:00Z</dcterms:created>
  <dcterms:modified xsi:type="dcterms:W3CDTF">2012-08-20T00:20:00Z</dcterms:modified>
</cp:coreProperties>
</file>